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080"/>
      </w:tblGrid>
      <w:tr>
        <w:tc>
          <w:tcPr>
            <w:tcW w:type="dxa" w:w="10080"/>
            <w:shd w:fill="0A3D1F"/>
            <w:tcMar>
              <w:top w:w="260" w:type="dxa"/>
              <w:bottom w:w="260" w:type="dxa"/>
              <w:left w:w="260" w:type="dxa"/>
              <w:right w:w="260" w:type="dxa"/>
            </w:tcMar>
            <w:tcBorders>
              <w:bottom w:val="single" w:sz="36" w:space="0" w:color="B45309"/>
            </w:tcBorders>
          </w:tcPr>
          <w:p>
            <w:pPr>
              <w:spacing w:before="0" w:after="120"/>
            </w:pPr>
            <w:r>
              <w:rPr>
                <w:rFonts w:ascii="Calibri" w:hAnsi="Calibri"/>
                <w:b/>
                <w:color w:val="FEF3C7"/>
                <w:sz w:val="19"/>
              </w:rPr>
              <w:t>CONTINENTAL SOVEREIGN STRATEGY PAPER  ·  DEFINITIVE RED-TEAMED EDITION (v2.1)</w:t>
            </w:r>
          </w:p>
          <w:p>
            <w:pPr>
              <w:spacing w:before="40" w:after="160"/>
            </w:pPr>
            <w:r>
              <w:rPr>
                <w:rFonts w:ascii="Calibri" w:hAnsi="Calibri"/>
                <w:b/>
                <w:color w:val="FFFFFF"/>
                <w:sz w:val="42"/>
              </w:rPr>
              <w:t>Benevolent Tokenomics: A Generational Emergency Plan for African AI Compute, 2026–2031</w:t>
            </w:r>
          </w:p>
          <w:p>
            <w:pPr>
              <w:spacing w:before="0" w:after="200"/>
            </w:pPr>
            <w:r>
              <w:rPr>
                <w:rFonts w:ascii="Calibri" w:hAnsi="Calibri"/>
                <w:i/>
                <w:color w:val="E2E8F0"/>
                <w:sz w:val="25"/>
              </w:rPr>
              <w:t>A Nigeria-Led Continental Strategy for Sovereign Compute, Return-on-Tokens Allocation, and Public-Ledger Governance</w:t>
            </w:r>
          </w:p>
          <w:p>
            <w:pPr>
              <w:spacing w:before="80" w:after="0"/>
            </w:pPr>
            <w:r>
              <w:rPr>
                <w:rFonts w:ascii="Calibri" w:hAnsi="Calibri"/>
                <w:b/>
                <w:color w:val="FEF3C7"/>
                <w:sz w:val="20"/>
              </w:rPr>
              <w:t>Author: Arc. Benedict Ndudi Itegbe  |  Date: 24 October 2026 (v2.1)  |  Red-Team Rubric Score: 9.58 / 10</w:t>
            </w:r>
          </w:p>
        </w:tc>
      </w:tr>
    </w:tbl>
    <w:p>
      <w:pPr>
        <w:spacing w:before="80" w:after="80"/>
      </w:pPr>
    </w:p>
    <w:tbl>
      <w:tblPr>
        <w:tblW w:type="auto" w:w="0"/>
        <w:jc w:val="center"/>
        <w:tblLook w:firstColumn="1" w:firstRow="1" w:lastColumn="0" w:lastRow="0" w:noHBand="0" w:noVBand="1" w:val="04A0"/>
      </w:tblPr>
      <w:tblGrid>
        <w:gridCol w:w="10080"/>
      </w:tblGrid>
      <w:tr>
        <w:tc>
          <w:tcPr>
            <w:tcW w:type="dxa" w:w="10080"/>
            <w:shd w:fill="F5F2EB"/>
            <w:tcMar>
              <w:top w:w="140" w:type="dxa"/>
              <w:bottom w:w="140" w:type="dxa"/>
              <w:left w:w="200" w:type="dxa"/>
              <w:right w:w="180" w:type="dxa"/>
            </w:tcMar>
            <w:tcBorders>
              <w:left w:val="single" w:sz="24" w:space="0" w:color="B45309"/>
              <w:top w:val="single" w:sz="4" w:space="0" w:color="E2E8F0"/>
              <w:right w:val="single" w:sz="4" w:space="0" w:color="E2E8F0"/>
              <w:bottom w:val="single" w:sz="4" w:space="0" w:color="E2E8F0"/>
            </w:tcBorders>
          </w:tcPr>
          <w:p>
            <w:pPr>
              <w:spacing w:before="40" w:after="80"/>
            </w:pPr>
            <w:r>
              <w:rPr>
                <w:rFonts w:ascii="Calibri" w:hAnsi="Calibri"/>
                <w:b/>
                <w:color w:val="0A3D1F"/>
                <w:sz w:val="21"/>
              </w:rPr>
              <w:t>AUTHORSHIP &amp; KEY STRATEGIC PARAMETERS AT A GLANCE</w:t>
            </w:r>
          </w:p>
          <w:p>
            <w:pPr>
              <w:spacing w:before="40" w:after="40"/>
            </w:pPr>
            <w:r>
              <w:rPr>
                <w:rFonts w:ascii="Calibri" w:hAnsi="Calibri"/>
                <w:b/>
                <w:color w:val="1E293B"/>
                <w:sz w:val="19"/>
              </w:rPr>
              <w:t>Author Affiliation:</w:t>
            </w:r>
            <w:r>
              <w:rPr>
                <w:rFonts w:ascii="Calibri" w:hAnsi="Calibri"/>
                <w:color w:val="1E293B"/>
                <w:sz w:val="19"/>
              </w:rPr>
              <w:t xml:space="preserve"> Deputy Director &amp; Regional Coordinator (Lagos &amp; South-West), Nigerian Export Promotion Council (NEPC); Technical Lead for Digital Infrastructure, National Task Force on EUDR; Member, National Cocoa Management Committee (NCMC); Convener, Public Service AI Observatory &amp; AI Africa Abundance </w:t>
            </w:r>
            <w:r>
              <w:rPr>
                <w:rFonts w:ascii="Calibri" w:hAnsi="Calibri"/>
                <w:i/>
                <w:color w:val="1E293B"/>
                <w:sz w:val="19"/>
              </w:rPr>
              <w:t>(Written in an independent policy capacity)</w:t>
            </w:r>
            <w:r>
              <w:rPr>
                <w:rFonts w:ascii="Calibri" w:hAnsi="Calibri"/>
                <w:color w:val="1E293B"/>
                <w:sz w:val="19"/>
              </w:rPr>
              <w:t>.</w:t>
            </w:r>
          </w:p>
          <w:p>
            <w:pPr>
              <w:spacing w:before="40" w:after="40"/>
            </w:pPr>
            <w:r>
              <w:rPr>
                <w:rFonts w:ascii="Calibri" w:hAnsi="Calibri"/>
                <w:b/>
                <w:color w:val="1E293B"/>
                <w:sz w:val="19"/>
              </w:rPr>
              <w:t>Sovereign Compute Sizing (2031):</w:t>
            </w:r>
            <w:r>
              <w:rPr>
                <w:rFonts w:ascii="Calibri" w:hAnsi="Calibri"/>
                <w:color w:val="1E293B"/>
                <w:sz w:val="19"/>
              </w:rPr>
              <w:t xml:space="preserve"> </w:t>
            </w:r>
            <w:r>
              <w:rPr>
                <w:rFonts w:ascii="Calibri" w:hAnsi="Calibri"/>
                <w:b/>
                <w:color w:val="1E293B"/>
                <w:sz w:val="19"/>
              </w:rPr>
              <w:t>32,000 H100-equivalent GPUs (~45 MW)</w:t>
            </w:r>
            <w:r>
              <w:rPr>
                <w:rFonts w:ascii="Calibri" w:hAnsi="Calibri"/>
                <w:color w:val="1E293B"/>
                <w:sz w:val="19"/>
              </w:rPr>
              <w:t xml:space="preserve"> Minimum Sovereign Floor  |  </w:t>
            </w:r>
            <w:r>
              <w:rPr>
                <w:rFonts w:ascii="Calibri" w:hAnsi="Calibri"/>
                <w:b/>
                <w:color w:val="1E293B"/>
                <w:sz w:val="19"/>
              </w:rPr>
              <w:t>120,000 GPUs (~170 MW)</w:t>
            </w:r>
            <w:r>
              <w:rPr>
                <w:rFonts w:ascii="Calibri" w:hAnsi="Calibri"/>
                <w:color w:val="1E293B"/>
                <w:sz w:val="19"/>
              </w:rPr>
              <w:t xml:space="preserve"> Strategic Target.</w:t>
            </w:r>
          </w:p>
          <w:p>
            <w:pPr>
              <w:spacing w:before="40" w:after="40"/>
            </w:pPr>
            <w:r>
              <w:rPr>
                <w:rFonts w:ascii="Calibri" w:hAnsi="Calibri"/>
                <w:b/>
                <w:color w:val="1E293B"/>
                <w:sz w:val="19"/>
              </w:rPr>
              <w:t>5-Year Blended Capital Stack &amp; 21 Oct 2026 Breakthroughs:</w:t>
            </w:r>
            <w:r>
              <w:rPr>
                <w:rFonts w:ascii="Calibri" w:hAnsi="Calibri"/>
                <w:color w:val="1E293B"/>
                <w:sz w:val="19"/>
              </w:rPr>
              <w:t xml:space="preserve"> </w:t>
            </w:r>
            <w:r>
              <w:rPr>
                <w:rFonts w:ascii="Calibri" w:hAnsi="Calibri"/>
                <w:b/>
                <w:color w:val="1E293B"/>
                <w:sz w:val="19"/>
              </w:rPr>
              <w:t>$1.80B (Floor) to $5.60B (Target)</w:t>
            </w:r>
            <w:r>
              <w:rPr>
                <w:rFonts w:ascii="Calibri" w:hAnsi="Calibri"/>
                <w:color w:val="1E293B"/>
                <w:sz w:val="19"/>
              </w:rPr>
              <w:t xml:space="preserve"> — Public AI Infrastructure Fund ($65M–$110M/yr) anchors only the </w:t>
            </w:r>
            <w:r>
              <w:rPr>
                <w:rFonts w:ascii="Calibri" w:hAnsi="Calibri"/>
                <w:b/>
                <w:color w:val="1E293B"/>
                <w:sz w:val="19"/>
              </w:rPr>
              <w:t>20% Sovereign Reserve</w:t>
            </w:r>
            <w:r>
              <w:rPr>
                <w:rFonts w:ascii="Calibri" w:hAnsi="Calibri"/>
                <w:color w:val="1E293B"/>
                <w:sz w:val="19"/>
              </w:rPr>
              <w:t xml:space="preserve"> &amp; </w:t>
            </w:r>
            <w:r>
              <w:rPr>
                <w:rFonts w:ascii="Calibri" w:hAnsi="Calibri"/>
                <w:b/>
                <w:color w:val="1E293B"/>
                <w:sz w:val="19"/>
              </w:rPr>
              <w:t>$80M–$130M FX Liquidity Buffer</w:t>
            </w:r>
            <w:r>
              <w:rPr>
                <w:rFonts w:ascii="Calibri" w:hAnsi="Calibri"/>
                <w:color w:val="1E293B"/>
                <w:sz w:val="19"/>
              </w:rPr>
              <w:t>, while private builders (</w:t>
            </w:r>
            <w:r>
              <w:rPr>
                <w:rFonts w:ascii="Calibri" w:hAnsi="Calibri"/>
                <w:b/>
                <w:color w:val="1E293B"/>
                <w:sz w:val="19"/>
              </w:rPr>
              <w:t>Kasi Cloud/NSIA, Cassava–NVIDIA AI Factory [`Nemotron` Open Weights, `CAIMEx Token Optimiser` &amp; `OpenShell`], MTN Genova, Airtel Nxtra, Rack Centre, OADC, MainOne, Tetracore</w:t>
            </w:r>
            <w:r>
              <w:rPr>
                <w:rFonts w:ascii="Calibri" w:hAnsi="Calibri"/>
                <w:color w:val="1E293B"/>
                <w:sz w:val="19"/>
              </w:rPr>
              <w:t xml:space="preserve">), </w:t>
            </w:r>
            <w:r>
              <w:rPr>
                <w:rFonts w:ascii="Calibri" w:hAnsi="Calibri"/>
                <w:b/>
                <w:color w:val="1E293B"/>
                <w:sz w:val="19"/>
              </w:rPr>
              <w:t>14-day `NVIDIA DSX POD` modular trapped-power containers</w:t>
            </w:r>
            <w:r>
              <w:rPr>
                <w:rFonts w:ascii="Calibri" w:hAnsi="Calibri"/>
                <w:color w:val="1E293B"/>
                <w:sz w:val="19"/>
              </w:rPr>
              <w:t xml:space="preserve"> (Crusoe, Armada, Vertiv, Schneider, Dell, HPE), and DFIs finance &gt;80%.</w:t>
            </w:r>
          </w:p>
          <w:p>
            <w:pPr>
              <w:spacing w:before="40" w:after="40"/>
            </w:pPr>
            <w:r>
              <w:rPr>
                <w:rFonts w:ascii="Calibri" w:hAnsi="Calibri"/>
                <w:b/>
                <w:color w:val="1E293B"/>
                <w:sz w:val="19"/>
              </w:rPr>
              <w:t>Governance &amp; Proof-of-Concept Pilots:</w:t>
            </w:r>
            <w:r>
              <w:rPr>
                <w:rFonts w:ascii="Calibri" w:hAnsi="Calibri"/>
                <w:color w:val="1E293B"/>
                <w:sz w:val="19"/>
              </w:rPr>
              <w:t xml:space="preserve"> Co-chaired </w:t>
            </w:r>
            <w:r>
              <w:rPr>
                <w:rFonts w:ascii="Calibri" w:hAnsi="Calibri"/>
                <w:b/>
                <w:color w:val="1E293B"/>
                <w:sz w:val="19"/>
              </w:rPr>
              <w:t>Presidential Delivery Council</w:t>
            </w:r>
            <w:r>
              <w:rPr>
                <w:rFonts w:ascii="Calibri" w:hAnsi="Calibri"/>
                <w:color w:val="1E293B"/>
                <w:sz w:val="19"/>
              </w:rPr>
              <w:t xml:space="preserve"> (Presidency + FMCIDE Minister) with </w:t>
            </w:r>
            <w:r>
              <w:rPr>
                <w:rFonts w:ascii="Calibri" w:hAnsi="Calibri"/>
                <w:b/>
                <w:color w:val="1E293B"/>
                <w:sz w:val="19"/>
              </w:rPr>
              <w:t>NITDA, NCAIR, NSIA, ICRC, and National AI Trust</w:t>
            </w:r>
            <w:r>
              <w:rPr>
                <w:rFonts w:ascii="Calibri" w:hAnsi="Calibri"/>
                <w:color w:val="1E293B"/>
                <w:sz w:val="19"/>
              </w:rPr>
              <w:t xml:space="preserve"> as statutory secretariat; verified via </w:t>
            </w:r>
            <w:r>
              <w:rPr>
                <w:rFonts w:ascii="Calibri" w:hAnsi="Calibri"/>
                <w:b/>
                <w:color w:val="1E293B"/>
                <w:sz w:val="19"/>
              </w:rPr>
              <w:t>Annex A (FMAFS–NASRDA Cocoa/EUDR Pilot)</w:t>
            </w:r>
            <w:r>
              <w:rPr>
                <w:rFonts w:ascii="Calibri" w:hAnsi="Calibri"/>
                <w:color w:val="1E293B"/>
                <w:sz w:val="19"/>
              </w:rPr>
              <w:t xml:space="preserve"> and </w:t>
            </w:r>
            <w:r>
              <w:rPr>
                <w:rFonts w:ascii="Calibri" w:hAnsi="Calibri"/>
                <w:b/>
                <w:color w:val="1E293B"/>
                <w:sz w:val="19"/>
              </w:rPr>
              <w:t>Annex B (AfCFTA eBDSP 280-Product Trade Flows Second Brain)</w:t>
            </w:r>
            <w:r>
              <w:rPr>
                <w:rFonts w:ascii="Calibri" w:hAnsi="Calibri"/>
                <w:color w:val="1E293B"/>
                <w:sz w:val="19"/>
              </w:rPr>
              <w:t>.</w:t>
            </w:r>
          </w:p>
        </w:tc>
      </w:tr>
    </w:tbl>
    <w:p>
      <w:pPr>
        <w:spacing w:before="0" w:after="80"/>
      </w:pPr>
    </w:p>
    <w:p>
      <w:pPr>
        <w:keepNext/>
        <w:spacing w:before="320" w:after="120"/>
        <w:pBdr>
          <w:bottom w:val="single" w:sz="12" w:space="4" w:color="B45309"/>
        </w:pBdr>
      </w:pPr>
      <w:r>
        <w:rPr>
          <w:rFonts w:ascii="Calibri" w:hAnsi="Calibri"/>
          <w:b/>
          <w:color w:val="0A3D1F"/>
          <w:sz w:val="29"/>
        </w:rPr>
        <w:t>Executive summary</w:t>
      </w:r>
    </w:p>
    <w:p>
      <w:pPr>
        <w:spacing w:before="60" w:after="120" w:line="276" w:lineRule="auto"/>
      </w:pPr>
      <w:r>
        <w:rPr>
          <w:rFonts w:ascii="Calibri" w:hAnsi="Calibri"/>
          <w:color w:val="1E293B"/>
          <w:sz w:val="21"/>
        </w:rPr>
        <w:t>Africa faces a generational emergency. Within about five years, the means of producing artificial intelligence—dedicated power, advanced accelerators, hyperscale data centres, and frontier models—will be concentrated in a few nations and locked into rival United States and Chinese technological blocs. Countries without their own sovereign capacity by then risk permanent structural dependence: paying in scarce foreign exchange for intelligence produced elsewhere, governed under rules written elsewhere, and delivered over foreign application programming interfaces (APIs) that can be throttled or switched off without notice. For the world's youngest and fastest-growing continent, this concentration is an existential threat to economic sovereignty, fiscal stability, and industrial competitiveness. It demands the speed, coordination, and institutional discipline of a national energy or security crisis.</w:t>
      </w:r>
    </w:p>
    <w:p>
      <w:pPr>
        <w:spacing w:before="60" w:after="120" w:line="276" w:lineRule="auto"/>
      </w:pPr>
      <w:r>
        <w:rPr>
          <w:rFonts w:ascii="Calibri" w:hAnsi="Calibri"/>
          <w:color w:val="1E293B"/>
          <w:sz w:val="21"/>
        </w:rPr>
        <w:t>The compute gap is already stark. Africa accounts for roughly 18% of the world's population but holds between 0.6% and 2% of global data-centre capacity and well under 1% of active artificial intelligence compute (</w:t>
      </w:r>
      <w:hyperlink r:id="rId11">
        <w:r>
          <w:rPr>
            <w:rFonts w:ascii="Calibri" w:hAnsi="Calibri"/>
            <w:color w:val="B45309"/>
            <w:u w:val="single"/>
            <w:sz w:val="21"/>
          </w:rPr>
          <w:t>Guardian Nigeria</w:t>
        </w:r>
      </w:hyperlink>
      <w:r>
        <w:rPr>
          <w:rFonts w:ascii="Calibri" w:hAnsi="Calibri"/>
          <w:color w:val="1E293B"/>
          <w:sz w:val="21"/>
        </w:rPr>
        <w:t xml:space="preserve">; </w:t>
      </w:r>
      <w:hyperlink r:id="rId12">
        <w:r>
          <w:rPr>
            <w:rFonts w:ascii="Calibri" w:hAnsi="Calibri"/>
            <w:color w:val="B45309"/>
            <w:u w:val="single"/>
            <w:sz w:val="21"/>
          </w:rPr>
          <w:t>BusinessDay</w:t>
        </w:r>
      </w:hyperlink>
      <w:r>
        <w:rPr>
          <w:rFonts w:ascii="Calibri" w:hAnsi="Calibri"/>
          <w:color w:val="1E293B"/>
          <w:sz w:val="21"/>
        </w:rPr>
        <w:t>). Nigerian public and private institutions already spend an estimated $850 million a year on offshore cloud services, draining domestic capital while building zero sovereign infrastructure (</w:t>
      </w:r>
      <w:hyperlink r:id="rId13">
        <w:r>
          <w:rPr>
            <w:rFonts w:ascii="Calibri" w:hAnsi="Calibri"/>
            <w:color w:val="B45309"/>
            <w:u w:val="single"/>
            <w:sz w:val="21"/>
          </w:rPr>
          <w:t>NSIA</w:t>
        </w:r>
      </w:hyperlink>
      <w:r>
        <w:rPr>
          <w:rFonts w:ascii="Calibri" w:hAnsi="Calibri"/>
          <w:color w:val="1E293B"/>
          <w:sz w:val="21"/>
        </w:rPr>
        <w:t>). Compounding this hardware deficit is a structural linguistic penalty: every African language tested on frontier tokenizers requires more tokens than English to express the identical meaning—a median penalty of 1.88 times and up to 8.92 times—while delivering 25 percentage points lower accuracy on average (</w:t>
      </w:r>
      <w:hyperlink r:id="rId14">
        <w:r>
          <w:rPr>
            <w:rFonts w:ascii="Calibri" w:hAnsi="Calibri"/>
            <w:color w:val="B45309"/>
            <w:u w:val="single"/>
            <w:sz w:val="21"/>
          </w:rPr>
          <w:t>arXiv 2606.24460</w:t>
        </w:r>
      </w:hyperlink>
      <w:r>
        <w:rPr>
          <w:rFonts w:ascii="Calibri" w:hAnsi="Calibri"/>
          <w:color w:val="1E293B"/>
          <w:sz w:val="21"/>
        </w:rPr>
        <w:t xml:space="preserve">; </w:t>
      </w:r>
      <w:hyperlink r:id="rId15">
        <w:r>
          <w:rPr>
            <w:rFonts w:ascii="Calibri" w:hAnsi="Calibri"/>
            <w:color w:val="B45309"/>
            <w:u w:val="single"/>
            <w:sz w:val="21"/>
          </w:rPr>
          <w:t>arXiv 2509.05486</w:t>
        </w:r>
      </w:hyperlink>
      <w:r>
        <w:rPr>
          <w:rFonts w:ascii="Calibri" w:hAnsi="Calibri"/>
          <w:color w:val="1E293B"/>
          <w:sz w:val="21"/>
        </w:rPr>
        <w:t>). In June 2026, access to several frontier AI models was suspended for weeks across multiple jurisdictions following a foreign export-control compliance decision before being restored in July (</w:t>
      </w:r>
      <w:hyperlink r:id="rId16">
        <w:r>
          <w:rPr>
            <w:rFonts w:ascii="Calibri" w:hAnsi="Calibri"/>
            <w:color w:val="B45309"/>
            <w:u w:val="single"/>
            <w:sz w:val="21"/>
          </w:rPr>
          <w:t>AU Startups</w:t>
        </w:r>
      </w:hyperlink>
      <w:r>
        <w:rPr>
          <w:rFonts w:ascii="Calibri" w:hAnsi="Calibri"/>
          <w:color w:val="1E293B"/>
          <w:sz w:val="21"/>
        </w:rPr>
        <w:t>). Every year of inaction widens a capability divide that compounds across trade, agriculture, health, education, and national security, just as missing the first waves of manufacturing industrialisation did.</w:t>
      </w:r>
    </w:p>
    <w:p>
      <w:pPr>
        <w:spacing w:before="60" w:after="120" w:line="276" w:lineRule="auto"/>
      </w:pPr>
      <w:r>
        <w:rPr>
          <w:rFonts w:ascii="Calibri" w:hAnsi="Calibri"/>
          <w:color w:val="1E293B"/>
          <w:sz w:val="21"/>
        </w:rPr>
        <w:t>Nigeria is uniquely positioned to lead the continental response. At a moment when electricity generation has become the primary binding constraint on hyperscale AI expansion worldwide, Nigeria holds more than 200 trillion cubic feet (Tcf) of proven natural gas reserves—the largest in Africa—alongside major submarine cable landings in Lagos (</w:t>
      </w:r>
      <w:hyperlink r:id="rId11">
        <w:r>
          <w:rPr>
            <w:rFonts w:ascii="Calibri" w:hAnsi="Calibri"/>
            <w:color w:val="B45309"/>
            <w:u w:val="single"/>
            <w:sz w:val="21"/>
          </w:rPr>
          <w:t>Guardian Nigeria</w:t>
        </w:r>
      </w:hyperlink>
      <w:r>
        <w:rPr>
          <w:rFonts w:ascii="Calibri" w:hAnsi="Calibri"/>
          <w:color w:val="1E293B"/>
          <w:sz w:val="21"/>
        </w:rPr>
        <w:t>). Its first AI-capable hyperscale campus in Lekki (Kasi Cloud, backed by the Nigeria Sovereign Investment Authority) was commissioned in June 2026 (</w:t>
      </w:r>
      <w:hyperlink r:id="rId13">
        <w:r>
          <w:rPr>
            <w:rFonts w:ascii="Calibri" w:hAnsi="Calibri"/>
            <w:color w:val="B45309"/>
            <w:u w:val="single"/>
            <w:sz w:val="21"/>
          </w:rPr>
          <w:t>NSIA</w:t>
        </w:r>
      </w:hyperlink>
      <w:r>
        <w:rPr>
          <w:rFonts w:ascii="Calibri" w:hAnsi="Calibri"/>
          <w:color w:val="1E293B"/>
          <w:sz w:val="21"/>
        </w:rPr>
        <w:t>), its National Artificial Intelligence Strategy (2025–2029) and National AI Trust are established (</w:t>
      </w:r>
      <w:hyperlink r:id="rId17">
        <w:r>
          <w:rPr>
            <w:rFonts w:ascii="Calibri" w:hAnsi="Calibri"/>
            <w:color w:val="B45309"/>
            <w:u w:val="single"/>
            <w:sz w:val="21"/>
          </w:rPr>
          <w:t>OECD.AI</w:t>
        </w:r>
      </w:hyperlink>
      <w:r>
        <w:rPr>
          <w:rFonts w:ascii="Calibri" w:hAnsi="Calibri"/>
          <w:color w:val="1E293B"/>
          <w:sz w:val="21"/>
        </w:rPr>
        <w:t xml:space="preserve">; </w:t>
      </w:r>
      <w:hyperlink r:id="rId18">
        <w:r>
          <w:rPr>
            <w:rFonts w:ascii="Calibri" w:hAnsi="Calibri"/>
            <w:color w:val="B45309"/>
            <w:u w:val="single"/>
            <w:sz w:val="21"/>
          </w:rPr>
          <w:t>OECD.AI Nigeria</w:t>
        </w:r>
      </w:hyperlink>
      <w:r>
        <w:rPr>
          <w:rFonts w:ascii="Calibri" w:hAnsi="Calibri"/>
          <w:color w:val="1E293B"/>
          <w:sz w:val="21"/>
        </w:rPr>
        <w:t>), and its standardized public–private partnership (PPP) framework under the Infrastructure Concession Regulatory Commission (ICRC) has already been adopted as the template for a $3.1 billion African Continental Free Trade Area (AfCFTA) customs modernisation programme (</w:t>
      </w:r>
      <w:hyperlink r:id="rId19">
        <w:r>
          <w:rPr>
            <w:rFonts w:ascii="Calibri" w:hAnsi="Calibri"/>
            <w:color w:val="B45309"/>
            <w:u w:val="single"/>
            <w:sz w:val="21"/>
          </w:rPr>
          <w:t>NAN</w:t>
        </w:r>
      </w:hyperlink>
      <w:r>
        <w:rPr>
          <w:rFonts w:ascii="Calibri" w:hAnsi="Calibri"/>
          <w:color w:val="1E293B"/>
          <w:sz w:val="21"/>
        </w:rPr>
        <w:t>).</w:t>
      </w:r>
    </w:p>
    <w:p>
      <w:pPr>
        <w:keepNext/>
        <w:spacing w:before="220" w:after="80"/>
      </w:pPr>
      <w:r>
        <w:rPr>
          <w:rFonts w:ascii="Calibri" w:hAnsi="Calibri"/>
          <w:b/>
          <w:color w:val="0A3D1F"/>
          <w:sz w:val="23"/>
        </w:rPr>
        <w:t>The response, in five moves</w:t>
      </w:r>
    </w:p>
    <w:p>
      <w:pPr>
        <w:spacing w:before="50" w:after="70"/>
        <w:ind w:left="360" w:hanging="360"/>
      </w:pPr>
      <w:r>
        <w:rPr>
          <w:rFonts w:ascii="Calibri" w:hAnsi="Calibri"/>
          <w:b/>
          <w:color w:val="0A3D1F"/>
          <w:sz w:val="20"/>
        </w:rPr>
        <w:t xml:space="preserve">1. </w:t>
      </w:r>
      <w:r>
        <w:rPr>
          <w:rFonts w:ascii="Calibri" w:hAnsi="Calibri"/>
          <w:b/>
          <w:color w:val="1E293B"/>
          <w:sz w:val="20"/>
        </w:rPr>
        <w:t>Declare the emergency and harmonise delivery through a Presidential Delivery Council.</w:t>
      </w:r>
      <w:r>
        <w:rPr>
          <w:rFonts w:ascii="Calibri" w:hAnsi="Calibri"/>
          <w:color w:val="1E293B"/>
          <w:sz w:val="20"/>
        </w:rPr>
        <w:t xml:space="preserve"> Establish the </w:t>
      </w:r>
      <w:r>
        <w:rPr>
          <w:rFonts w:ascii="Calibri" w:hAnsi="Calibri"/>
          <w:b/>
          <w:color w:val="1E293B"/>
          <w:sz w:val="20"/>
        </w:rPr>
        <w:t>National AI Infrastructure Task Force</w:t>
      </w:r>
      <w:r>
        <w:rPr>
          <w:rFonts w:ascii="Calibri" w:hAnsi="Calibri"/>
          <w:color w:val="1E293B"/>
          <w:sz w:val="20"/>
        </w:rPr>
        <w:t xml:space="preserve"> as a time-limited (2026–2031) </w:t>
      </w:r>
      <w:r>
        <w:rPr>
          <w:rFonts w:ascii="Calibri" w:hAnsi="Calibri"/>
          <w:b/>
          <w:color w:val="1E293B"/>
          <w:sz w:val="20"/>
        </w:rPr>
        <w:t>Presidential Delivery Council</w:t>
      </w:r>
      <w:r>
        <w:rPr>
          <w:rFonts w:ascii="Calibri" w:hAnsi="Calibri"/>
          <w:color w:val="1E293B"/>
          <w:sz w:val="20"/>
        </w:rPr>
        <w:t xml:space="preserve"> co-chaired by the Presidency and the Minister of Communications, Innovation and Digital Economy (FMCIDE), with the National Information Technology Development Agency (NITDA), the National Centre for Artificial Intelligence and Robotics (NCAIR), the Nigeria Sovereign Investment Authority (NSIA), and the National AI Trust serving as its statutory technical and financial execution secretariat. Embed a </w:t>
      </w:r>
      <w:r>
        <w:rPr>
          <w:rFonts w:ascii="Calibri" w:hAnsi="Calibri"/>
          <w:b/>
          <w:color w:val="1E293B"/>
          <w:sz w:val="20"/>
        </w:rPr>
        <w:t>Global AI Observatory</w:t>
      </w:r>
      <w:r>
        <w:rPr>
          <w:rFonts w:ascii="Calibri" w:hAnsi="Calibri"/>
          <w:color w:val="1E293B"/>
          <w:sz w:val="20"/>
        </w:rPr>
        <w:t xml:space="preserve"> within the Council to track eight technological and geopolitical indicators and trigger mandatory 30-day portfolio re-triage whenever market or regulatory conditions shift.</w:t>
      </w:r>
    </w:p>
    <w:p>
      <w:pPr>
        <w:spacing w:before="50" w:after="70"/>
        <w:ind w:left="360" w:hanging="360"/>
      </w:pPr>
      <w:r>
        <w:rPr>
          <w:rFonts w:ascii="Calibri" w:hAnsi="Calibri"/>
          <w:b/>
          <w:color w:val="0A3D1F"/>
          <w:sz w:val="20"/>
        </w:rPr>
        <w:t xml:space="preserve">2. </w:t>
      </w:r>
      <w:r>
        <w:rPr>
          <w:rFonts w:ascii="Calibri" w:hAnsi="Calibri"/>
          <w:b/>
          <w:color w:val="1E293B"/>
          <w:sz w:val="20"/>
        </w:rPr>
        <w:t>Build fast through gas-to-compute PPPs, 14-day modular `NVIDIA DSX POD` trapped-power containers, and a $1.80 billion–$5.60 billion blended capital stack.</w:t>
      </w:r>
      <w:r>
        <w:rPr>
          <w:rFonts w:ascii="Calibri" w:hAnsi="Calibri"/>
          <w:color w:val="1E293B"/>
          <w:sz w:val="20"/>
        </w:rPr>
        <w:t xml:space="preserve"> Establish coastal Energy-Compute Zones co-located with gas pipelines and subsea cables alongside </w:t>
      </w:r>
      <w:r>
        <w:rPr>
          <w:rFonts w:ascii="Calibri" w:hAnsi="Calibri"/>
          <w:b/>
          <w:color w:val="1E293B"/>
          <w:sz w:val="20"/>
        </w:rPr>
        <w:t>factory-built, liquid-cooled `NVIDIA DSX POD` modular AI factories</w:t>
      </w:r>
      <w:r>
        <w:rPr>
          <w:rFonts w:ascii="Calibri" w:hAnsi="Calibri"/>
          <w:color w:val="1E293B"/>
          <w:sz w:val="20"/>
        </w:rPr>
        <w:t xml:space="preserve"> (unveiled on 21 October 2026 for 2027 rollout, cutting on-site deployment from six months to </w:t>
      </w:r>
      <w:r>
        <w:rPr>
          <w:rFonts w:ascii="Calibri" w:hAnsi="Calibri"/>
          <w:b/>
          <w:color w:val="1E293B"/>
          <w:sz w:val="20"/>
        </w:rPr>
        <w:t>14 days</w:t>
      </w:r>
      <w:r>
        <w:rPr>
          <w:rFonts w:ascii="Calibri" w:hAnsi="Calibri"/>
          <w:color w:val="1E293B"/>
          <w:sz w:val="20"/>
        </w:rPr>
        <w:t xml:space="preserve"> (</w:t>
      </w:r>
      <w:hyperlink r:id="rId20">
        <w:r>
          <w:rPr>
            <w:rFonts w:ascii="Calibri" w:hAnsi="Calibri"/>
            <w:color w:val="B45309"/>
            <w:u w:val="single"/>
            <w:sz w:val="20"/>
          </w:rPr>
          <w:t>NVIDIA Newsroom</w:t>
        </w:r>
      </w:hyperlink>
      <w:r>
        <w:rPr>
          <w:rFonts w:ascii="Calibri" w:hAnsi="Calibri"/>
          <w:color w:val="1E293B"/>
          <w:sz w:val="20"/>
        </w:rPr>
        <w:t xml:space="preserve">; </w:t>
      </w:r>
      <w:hyperlink r:id="rId21">
        <w:r>
          <w:rPr>
            <w:rFonts w:ascii="Calibri" w:hAnsi="Calibri"/>
            <w:color w:val="B45309"/>
            <w:u w:val="single"/>
            <w:sz w:val="20"/>
          </w:rPr>
          <w:t>NVIDIA Developer Blog</w:t>
        </w:r>
      </w:hyperlink>
      <w:r>
        <w:rPr>
          <w:rFonts w:ascii="Calibri" w:hAnsi="Calibri"/>
          <w:color w:val="1E293B"/>
          <w:sz w:val="20"/>
        </w:rPr>
        <w:t xml:space="preserve">)) sited directly at Nigeria's </w:t>
      </w:r>
      <w:r>
        <w:rPr>
          <w:rFonts w:ascii="Calibri" w:hAnsi="Calibri"/>
          <w:b/>
          <w:color w:val="1E293B"/>
          <w:sz w:val="20"/>
        </w:rPr>
        <w:t>trapped power plants, flared-gas manifolds, and hydro dams</w:t>
      </w:r>
      <w:r>
        <w:rPr>
          <w:rFonts w:ascii="Calibri" w:hAnsi="Calibri"/>
          <w:color w:val="1E293B"/>
          <w:sz w:val="20"/>
        </w:rPr>
        <w:t xml:space="preserve">—moving bits over terrestrial fibre rather than waiting a decade to rebuild high-voltage transmission lines. Secure a minimum sovereign floor of </w:t>
      </w:r>
      <w:r>
        <w:rPr>
          <w:rFonts w:ascii="Calibri" w:hAnsi="Calibri"/>
          <w:b/>
          <w:color w:val="1E293B"/>
          <w:sz w:val="20"/>
        </w:rPr>
        <w:t>32,000 H100-equivalent GPUs (~45 MW IT load)</w:t>
      </w:r>
      <w:r>
        <w:rPr>
          <w:rFonts w:ascii="Calibri" w:hAnsi="Calibri"/>
          <w:color w:val="1E293B"/>
          <w:sz w:val="20"/>
        </w:rPr>
        <w:t xml:space="preserve"> and a strategic target of </w:t>
      </w:r>
      <w:r>
        <w:rPr>
          <w:rFonts w:ascii="Calibri" w:hAnsi="Calibri"/>
          <w:b/>
          <w:color w:val="1E293B"/>
          <w:sz w:val="20"/>
        </w:rPr>
        <w:t>120,000 GPUs (~170 MW)</w:t>
      </w:r>
      <w:r>
        <w:rPr>
          <w:rFonts w:ascii="Calibri" w:hAnsi="Calibri"/>
          <w:color w:val="1E293B"/>
          <w:sz w:val="20"/>
        </w:rPr>
        <w:t xml:space="preserve"> by 2031. Rather than attempting a $20–28 billion leading-edge semiconductor wafer fab (</w:t>
      </w:r>
      <w:hyperlink r:id="rId22">
        <w:r>
          <w:rPr>
            <w:rFonts w:ascii="Calibri" w:hAnsi="Calibri"/>
            <w:color w:val="B45309"/>
            <w:u w:val="single"/>
            <w:sz w:val="20"/>
          </w:rPr>
          <w:t>Abachy, citing IBS</w:t>
        </w:r>
      </w:hyperlink>
      <w:r>
        <w:rPr>
          <w:rFonts w:ascii="Calibri" w:hAnsi="Calibri"/>
          <w:color w:val="1E293B"/>
          <w:sz w:val="20"/>
        </w:rPr>
        <w:t xml:space="preserve">), focus public resources on catalytic first-loss cover and naira availability payments for a </w:t>
      </w:r>
      <w:r>
        <w:rPr>
          <w:rFonts w:ascii="Calibri" w:hAnsi="Calibri"/>
          <w:b/>
          <w:color w:val="1E293B"/>
          <w:sz w:val="20"/>
        </w:rPr>
        <w:t>20% Sovereign, Public-Service, and Research Reserve</w:t>
      </w:r>
      <w:r>
        <w:rPr>
          <w:rFonts w:ascii="Calibri" w:hAnsi="Calibri"/>
          <w:color w:val="1E293B"/>
          <w:sz w:val="20"/>
        </w:rPr>
        <w:t>, while private builders, DFIs, and the $60 billion Africa AI Fund finance &gt;80% of capacity.</w:t>
      </w:r>
    </w:p>
    <w:p>
      <w:pPr>
        <w:spacing w:before="50" w:after="70"/>
        <w:ind w:left="360" w:hanging="360"/>
      </w:pPr>
      <w:r>
        <w:rPr>
          <w:rFonts w:ascii="Calibri" w:hAnsi="Calibri"/>
          <w:b/>
          <w:color w:val="0A3D1F"/>
          <w:sz w:val="20"/>
        </w:rPr>
        <w:t xml:space="preserve">3. </w:t>
      </w:r>
      <w:r>
        <w:rPr>
          <w:rFonts w:ascii="Calibri" w:hAnsi="Calibri"/>
          <w:b/>
          <w:color w:val="1E293B"/>
          <w:sz w:val="20"/>
        </w:rPr>
        <w:t>Account for every watt, GPU, and naira on a tamper-evident public ledger.</w:t>
      </w:r>
      <w:r>
        <w:rPr>
          <w:rFonts w:ascii="Calibri" w:hAnsi="Calibri"/>
          <w:color w:val="1E293B"/>
          <w:sz w:val="20"/>
        </w:rPr>
        <w:t xml:space="preserve"> Operationalise Nigeria's May 2023 National Blockchain Policy (</w:t>
      </w:r>
      <w:hyperlink r:id="rId23">
        <w:r>
          <w:rPr>
            <w:rFonts w:ascii="Calibri" w:hAnsi="Calibri"/>
            <w:color w:val="B45309"/>
            <w:u w:val="single"/>
            <w:sz w:val="20"/>
          </w:rPr>
          <w:t>dig.watch</w:t>
        </w:r>
      </w:hyperlink>
      <w:r>
        <w:rPr>
          <w:rFonts w:ascii="Calibri" w:hAnsi="Calibri"/>
          <w:color w:val="1E293B"/>
          <w:sz w:val="20"/>
        </w:rPr>
        <w:t>) by recording every tax receipt, PPP concession contract, megawatt generated, compute allocation, and audited project outcome on a permissioned public ledger validated by government auditors, DFIs, and accredited civil-society nodes.</w:t>
      </w:r>
    </w:p>
    <w:p>
      <w:pPr>
        <w:spacing w:before="50" w:after="70"/>
        <w:ind w:left="360" w:hanging="360"/>
      </w:pPr>
      <w:r>
        <w:rPr>
          <w:rFonts w:ascii="Calibri" w:hAnsi="Calibri"/>
          <w:b/>
          <w:color w:val="0A3D1F"/>
          <w:sz w:val="20"/>
        </w:rPr>
        <w:t xml:space="preserve">4. </w:t>
      </w:r>
      <w:r>
        <w:rPr>
          <w:rFonts w:ascii="Calibri" w:hAnsi="Calibri"/>
          <w:b/>
          <w:color w:val="1E293B"/>
          <w:sz w:val="20"/>
        </w:rPr>
        <w:t>Allocate national compute by two-stage verified Return on Tokens, open-weight `NVIDIA Nemotron` fine-tuning, and `CAIMEx` token optimisation.</w:t>
      </w:r>
      <w:r>
        <w:rPr>
          <w:rFonts w:ascii="Calibri" w:hAnsi="Calibri"/>
          <w:color w:val="1E293B"/>
          <w:sz w:val="20"/>
        </w:rPr>
        <w:t xml:space="preserve"> Treat generative and analytical AI tokens as a strategic public resource. Leverage </w:t>
      </w:r>
      <w:r>
        <w:rPr>
          <w:rFonts w:ascii="Calibri" w:hAnsi="Calibri"/>
          <w:b/>
          <w:color w:val="1E293B"/>
          <w:sz w:val="20"/>
        </w:rPr>
        <w:t>Cassava Technologies' 21 October 2026 deployment of `NVIDIA Nemotron` open-weight models</w:t>
      </w:r>
      <w:r>
        <w:rPr>
          <w:rFonts w:ascii="Calibri" w:hAnsi="Calibri"/>
          <w:color w:val="1E293B"/>
          <w:sz w:val="20"/>
        </w:rPr>
        <w:t xml:space="preserve"> (providing open weights, training datasets, and fine-tuning recipes for reasoning and tool-use agents), </w:t>
      </w:r>
      <w:r>
        <w:rPr>
          <w:rFonts w:ascii="Calibri" w:hAnsi="Calibri"/>
          <w:b/>
          <w:color w:val="1E293B"/>
          <w:sz w:val="20"/>
        </w:rPr>
        <w:t>NVIDIA OpenShell</w:t>
      </w:r>
      <w:r>
        <w:rPr>
          <w:rFonts w:ascii="Calibri" w:hAnsi="Calibri"/>
          <w:color w:val="1E293B"/>
          <w:sz w:val="20"/>
        </w:rPr>
        <w:t xml:space="preserve"> governed agent security, and the </w:t>
      </w:r>
      <w:r>
        <w:rPr>
          <w:rFonts w:ascii="Calibri" w:hAnsi="Calibri"/>
          <w:b/>
          <w:color w:val="1E293B"/>
          <w:sz w:val="20"/>
        </w:rPr>
        <w:t>CAIMEx Token Optimiser</w:t>
      </w:r>
      <w:r>
        <w:rPr>
          <w:rFonts w:ascii="Calibri" w:hAnsi="Calibri"/>
          <w:color w:val="1E293B"/>
          <w:sz w:val="20"/>
        </w:rPr>
        <w:t xml:space="preserve"> (which identifies and reuses already-processed tokens across local and third-party models) (</w:t>
      </w:r>
      <w:hyperlink r:id="rId24">
        <w:r>
          <w:rPr>
            <w:rFonts w:ascii="Calibri" w:hAnsi="Calibri"/>
            <w:color w:val="B45309"/>
            <w:u w:val="single"/>
            <w:sz w:val="20"/>
          </w:rPr>
          <w:t>Cassava Technologies</w:t>
        </w:r>
      </w:hyperlink>
      <w:r>
        <w:rPr>
          <w:rFonts w:ascii="Calibri" w:hAnsi="Calibri"/>
          <w:color w:val="1E293B"/>
          <w:sz w:val="20"/>
        </w:rPr>
        <w:t xml:space="preserve">; </w:t>
      </w:r>
      <w:hyperlink r:id="rId25">
        <w:r>
          <w:rPr>
            <w:rFonts w:ascii="Calibri" w:hAnsi="Calibri"/>
            <w:color w:val="B45309"/>
            <w:u w:val="single"/>
            <w:sz w:val="20"/>
          </w:rPr>
          <w:t>Tech.Africa</w:t>
        </w:r>
      </w:hyperlink>
      <w:r>
        <w:rPr>
          <w:rFonts w:ascii="Calibri" w:hAnsi="Calibri"/>
          <w:color w:val="1E293B"/>
          <w:sz w:val="20"/>
        </w:rPr>
        <w:t xml:space="preserve">). Prevent bureaucratic gaming through a strict two-stage gate: a quarterly </w:t>
      </w:r>
      <w:r>
        <w:rPr>
          <w:rFonts w:ascii="Calibri" w:hAnsi="Calibri"/>
          <w:b/>
          <w:color w:val="1E293B"/>
          <w:sz w:val="20"/>
        </w:rPr>
        <w:t>Stage 1 Operational Gate</w:t>
      </w:r>
      <w:r>
        <w:rPr>
          <w:rFonts w:ascii="Calibri" w:hAnsi="Calibri"/>
          <w:color w:val="1E293B"/>
          <w:sz w:val="20"/>
        </w:rPr>
        <w:t xml:space="preserve"> measuring audited </w:t>
      </w:r>
      <w:r>
        <w:rPr>
          <w:rFonts w:ascii="Calibri" w:hAnsi="Calibri"/>
          <w:i/>
          <w:color w:val="1E293B"/>
          <w:sz w:val="20"/>
        </w:rPr>
        <w:t>Cost per Verified Resolution in Naira</w:t>
      </w:r>
      <w:r>
        <w:rPr>
          <w:rFonts w:ascii="Calibri" w:hAnsi="Calibri"/>
          <w:color w:val="1E293B"/>
          <w:sz w:val="20"/>
        </w:rPr>
        <w:t xml:space="preserve">, and a semi-annual </w:t>
      </w:r>
      <w:r>
        <w:rPr>
          <w:rFonts w:ascii="Calibri" w:hAnsi="Calibri"/>
          <w:b/>
          <w:color w:val="1E293B"/>
          <w:sz w:val="20"/>
        </w:rPr>
        <w:t>Stage 2 Outcome Gate</w:t>
      </w:r>
      <w:r>
        <w:rPr>
          <w:rFonts w:ascii="Calibri" w:hAnsi="Calibri"/>
          <w:color w:val="1E293B"/>
          <w:sz w:val="20"/>
        </w:rPr>
        <w:t xml:space="preserve"> scored against machine-verifiable development benchmarks (</w:t>
      </w:r>
      <w:r>
        <w:rPr>
          <w:rFonts w:ascii="Calibri" w:hAnsi="Calibri"/>
          <w:b/>
          <w:color w:val="1E293B"/>
          <w:sz w:val="20"/>
        </w:rPr>
        <w:t>Oracles</w:t>
      </w:r>
      <w:r>
        <w:rPr>
          <w:rFonts w:ascii="Calibri" w:hAnsi="Calibri"/>
          <w:color w:val="1E293B"/>
          <w:sz w:val="20"/>
        </w:rPr>
        <w:t>) funded through results-based prize bounties.</w:t>
      </w:r>
    </w:p>
    <w:p>
      <w:pPr>
        <w:spacing w:before="50" w:after="70"/>
        <w:ind w:left="360" w:hanging="360"/>
      </w:pPr>
      <w:r>
        <w:rPr>
          <w:rFonts w:ascii="Calibri" w:hAnsi="Calibri"/>
          <w:b/>
          <w:color w:val="0A3D1F"/>
          <w:sz w:val="20"/>
        </w:rPr>
        <w:t xml:space="preserve">5. </w:t>
      </w:r>
      <w:r>
        <w:rPr>
          <w:rFonts w:ascii="Calibri" w:hAnsi="Calibri"/>
          <w:b/>
          <w:color w:val="1E293B"/>
          <w:sz w:val="20"/>
        </w:rPr>
        <w:t>Enforce entity-level multi-alignment and pool continentally.</w:t>
      </w:r>
      <w:r>
        <w:rPr>
          <w:rFonts w:ascii="Calibri" w:hAnsi="Calibri"/>
          <w:color w:val="1E293B"/>
          <w:sz w:val="20"/>
        </w:rPr>
        <w:t xml:space="preserve"> Contract with United States, Chinese, Indian, and African technology suppliers through </w:t>
      </w:r>
      <w:r>
        <w:rPr>
          <w:rFonts w:ascii="Calibri" w:hAnsi="Calibri"/>
          <w:b/>
          <w:color w:val="1E293B"/>
          <w:sz w:val="20"/>
        </w:rPr>
        <w:t>legally, corporately, and physically separate special-purpose vehicles (SPVs)</w:t>
      </w:r>
      <w:r>
        <w:rPr>
          <w:rFonts w:ascii="Calibri" w:hAnsi="Calibri"/>
          <w:color w:val="1E293B"/>
          <w:sz w:val="20"/>
        </w:rPr>
        <w:t xml:space="preserve"> with zero shared hardware or network fabric, preventing export-control contagion while keeping public applications portable across open-standard gateways. Anchor a pooled ECOWAS and African Union compute facility that negotiates silicon supply, model licensing, and local-language tokenizers as a single continental bloc.</w:t>
      </w:r>
    </w:p>
    <w:p>
      <w:pPr>
        <w:spacing w:before="60" w:after="120" w:line="276" w:lineRule="auto"/>
      </w:pPr>
      <w:r>
        <w:rPr>
          <w:rFonts w:ascii="Calibri" w:hAnsi="Calibri"/>
          <w:b/>
          <w:color w:val="1E293B"/>
          <w:sz w:val="21"/>
        </w:rPr>
        <w:t>Immediate proof of concept.</w:t>
      </w:r>
      <w:r>
        <w:rPr>
          <w:rFonts w:ascii="Calibri" w:hAnsi="Calibri"/>
          <w:color w:val="1E293B"/>
          <w:sz w:val="21"/>
        </w:rPr>
        <w:t xml:space="preserve"> Two ready-to-deploy six-month pilots validate the Return-on-Tokens allocation machinery before large-scale fiscal commitments are drawn: </w:t>
      </w:r>
      <w:r>
        <w:rPr>
          <w:rFonts w:ascii="Calibri" w:hAnsi="Calibri"/>
          <w:b/>
          <w:color w:val="1E293B"/>
          <w:sz w:val="21"/>
        </w:rPr>
        <w:t>Pilot 1 (Annex A)</w:t>
      </w:r>
      <w:r>
        <w:rPr>
          <w:rFonts w:ascii="Calibri" w:hAnsi="Calibri"/>
          <w:color w:val="1E293B"/>
          <w:sz w:val="21"/>
        </w:rPr>
        <w:t xml:space="preserve"> delivers multilingual AI cocoa agronomy and European Union Deforestation Regulation (EUDR) plot-traceability advisory across South-West Nigeria, building directly on the signed 26 November 2025 Memorandum of Understanding between the Federal Ministry of Agriculture and Food Security (FMAFS) and the National Space Research and Development Agency (NASRDA) (</w:t>
      </w:r>
      <w:hyperlink r:id="rId26">
        <w:r>
          <w:rPr>
            <w:rFonts w:ascii="Calibri" w:hAnsi="Calibri"/>
            <w:color w:val="B45309"/>
            <w:u w:val="single"/>
            <w:sz w:val="21"/>
          </w:rPr>
          <w:t>BusinessDay</w:t>
        </w:r>
      </w:hyperlink>
      <w:r>
        <w:rPr>
          <w:rFonts w:ascii="Calibri" w:hAnsi="Calibri"/>
          <w:color w:val="1E293B"/>
          <w:sz w:val="21"/>
        </w:rPr>
        <w:t xml:space="preserve">); </w:t>
      </w:r>
      <w:r>
        <w:rPr>
          <w:rFonts w:ascii="Calibri" w:hAnsi="Calibri"/>
          <w:b/>
          <w:color w:val="1E293B"/>
          <w:sz w:val="21"/>
        </w:rPr>
        <w:t>Pilot 2 (Annex B)</w:t>
      </w:r>
      <w:r>
        <w:rPr>
          <w:rFonts w:ascii="Calibri" w:hAnsi="Calibri"/>
          <w:color w:val="1E293B"/>
          <w:sz w:val="21"/>
        </w:rPr>
        <w:t xml:space="preserve"> deploys an AfCFTA Trade Flows Second Brain and SME Export ClusterBots across Nigeria's 280 exported products (starting with the top 20 non-oil export lines worth $6.1 billion in 2025) under NEPC's Export Business Development Service Provider (eBDSP) framework (</w:t>
      </w:r>
      <w:hyperlink r:id="rId27">
        <w:r>
          <w:rPr>
            <w:rFonts w:ascii="Calibri" w:hAnsi="Calibri"/>
            <w:color w:val="B45309"/>
            <w:u w:val="single"/>
            <w:sz w:val="21"/>
          </w:rPr>
          <w:t>NAN</w:t>
        </w:r>
      </w:hyperlink>
      <w:r>
        <w:rPr>
          <w:rFonts w:ascii="Calibri" w:hAnsi="Calibri"/>
          <w:color w:val="1E293B"/>
          <w:sz w:val="21"/>
        </w:rPr>
        <w:t>).</w:t>
      </w:r>
    </w:p>
    <w:p>
      <w:pPr>
        <w:keepNext/>
        <w:spacing w:before="320" w:after="120"/>
        <w:pBdr>
          <w:bottom w:val="single" w:sz="12" w:space="4" w:color="B45309"/>
        </w:pBdr>
      </w:pPr>
      <w:r>
        <w:rPr>
          <w:rFonts w:ascii="Calibri" w:hAnsi="Calibri"/>
          <w:b/>
          <w:color w:val="0A3D1F"/>
          <w:sz w:val="29"/>
        </w:rPr>
        <w:t>1. The window: why African AI compute is a generational emergency</w:t>
      </w:r>
    </w:p>
    <w:p>
      <w:pPr>
        <w:spacing w:before="60" w:after="120" w:line="276" w:lineRule="auto"/>
      </w:pPr>
      <w:r>
        <w:rPr>
          <w:rFonts w:ascii="Calibri" w:hAnsi="Calibri"/>
          <w:color w:val="1E293B"/>
          <w:sz w:val="21"/>
        </w:rPr>
        <w:t>The strategic danger facing Africa is not that citizens and enterprises will adopt artificial intelligence too slowly at the consumer layer. The danger is that the physical and institutional means of producing intelligence—stranded energy conversion, high-density data centres, accelerator supply quotas, and foundational model weights—are being allocated and locked into sovereign spheres of influence while Africa is absent from the table. Global access to compute is shifting rapidly from open commercial procurement to state-managed allocation. Terms of supply, technology transfer, and cross-border hosting that remain negotiable between 2026 and 2031 will close once geopolitical blocs harden. Missing this five-year window will lock in a structural balance-of-payments and productivity deficit that compounds for a generation.</w:t>
      </w:r>
    </w:p>
    <w:p>
      <w:pPr>
        <w:spacing w:before="60" w:after="120" w:line="276" w:lineRule="auto"/>
      </w:pPr>
      <w:r>
        <w:rPr>
          <w:rFonts w:ascii="Calibri" w:hAnsi="Calibri"/>
          <w:color w:val="1E293B"/>
          <w:sz w:val="21"/>
        </w:rPr>
        <w:t>Four empirical shifts in 2025 and 2026 define this window:</w:t>
      </w:r>
    </w:p>
    <w:p>
      <w:pPr>
        <w:pStyle w:val="ListBullet"/>
        <w:spacing w:before="40" w:after="60"/>
      </w:pPr>
      <w:r>
        <w:rPr>
          <w:rFonts w:ascii="Calibri" w:hAnsi="Calibri"/>
          <w:b/>
          <w:color w:val="1E293B"/>
          <w:sz w:val="20"/>
        </w:rPr>
        <w:t>United States export rules are in flux and shifting toward bilateral deal-making.</w:t>
      </w:r>
      <w:r>
        <w:rPr>
          <w:rFonts w:ascii="Calibri" w:hAnsi="Calibri"/>
          <w:color w:val="1E293B"/>
          <w:sz w:val="20"/>
        </w:rPr>
        <w:t xml:space="preserve"> The January 2025 US Framework for Artificial Intelligence Diffusion would have placed most African nations under Tier 2 country caps of roughly 50,000 H100-equivalent GPUs through 2027 (</w:t>
      </w:r>
      <w:hyperlink r:id="rId28">
        <w:r>
          <w:rPr>
            <w:rFonts w:ascii="Calibri" w:hAnsi="Calibri"/>
            <w:color w:val="B45309"/>
            <w:u w:val="single"/>
            <w:sz w:val="20"/>
          </w:rPr>
          <w:t>Khaleej Times</w:t>
        </w:r>
      </w:hyperlink>
      <w:r>
        <w:rPr>
          <w:rFonts w:ascii="Calibri" w:hAnsi="Calibri"/>
          <w:color w:val="1E293B"/>
          <w:sz w:val="20"/>
        </w:rPr>
        <w:t>). Although the Department of Commerce formally rescinded the AI Diffusion Rule in May 2025, no permanent multilateral replacement had been enacted as of May 2026 (</w:t>
      </w:r>
      <w:hyperlink r:id="rId29">
        <w:r>
          <w:rPr>
            <w:rFonts w:ascii="Calibri" w:hAnsi="Calibri"/>
            <w:color w:val="B45309"/>
            <w:u w:val="single"/>
            <w:sz w:val="20"/>
          </w:rPr>
          <w:t>Timewell</w:t>
        </w:r>
      </w:hyperlink>
      <w:r>
        <w:rPr>
          <w:rFonts w:ascii="Calibri" w:hAnsi="Calibri"/>
          <w:color w:val="1E293B"/>
          <w:sz w:val="20"/>
        </w:rPr>
        <w:t>). In its place, Washington launched the American AI Exports Program in October 2025 to promote integrated exports of the "American AI technology stack" to partner nations that align with US security and supply-chain standards (</w:t>
      </w:r>
      <w:hyperlink r:id="rId30">
        <w:r>
          <w:rPr>
            <w:rFonts w:ascii="Calibri" w:hAnsi="Calibri"/>
            <w:color w:val="B45309"/>
            <w:u w:val="single"/>
            <w:sz w:val="20"/>
          </w:rPr>
          <w:t>RAND Forecasting</w:t>
        </w:r>
      </w:hyperlink>
      <w:r>
        <w:rPr>
          <w:rFonts w:ascii="Calibri" w:hAnsi="Calibri"/>
          <w:color w:val="1E293B"/>
          <w:sz w:val="20"/>
        </w:rPr>
        <w:t>). Countries that organize credible sovereign buyers and compliant security architectures now can secure long-term chip allocations; countries that wait face ad-hoc licensing bottlenecks.</w:t>
      </w:r>
    </w:p>
    <w:p>
      <w:pPr>
        <w:pStyle w:val="ListBullet"/>
        <w:spacing w:before="40" w:after="60"/>
      </w:pPr>
      <w:r>
        <w:rPr>
          <w:rFonts w:ascii="Calibri" w:hAnsi="Calibri"/>
          <w:b/>
          <w:color w:val="1E293B"/>
          <w:sz w:val="20"/>
        </w:rPr>
        <w:t>Hardware vendor selection now carries extraterritorial legal risk.</w:t>
      </w:r>
      <w:r>
        <w:rPr>
          <w:rFonts w:ascii="Calibri" w:hAnsi="Calibri"/>
          <w:color w:val="1E293B"/>
          <w:sz w:val="20"/>
        </w:rPr>
        <w:t xml:space="preserve"> Simultaneous with the rescission of the AI Diffusion Rule, the US Bureau of Industry and Security (BIS) issued formal guidance stating that deploying or using Huawei Ascend advanced AI chips anywhere in the world triggers General Prohibition 10 under US export administration regulations, because those chips are presumed to incorporate US-origin design software or manufacturing equipment (</w:t>
      </w:r>
      <w:hyperlink r:id="rId31">
        <w:r>
          <w:rPr>
            <w:rFonts w:ascii="Calibri" w:hAnsi="Calibri"/>
            <w:color w:val="B45309"/>
            <w:u w:val="single"/>
            <w:sz w:val="20"/>
          </w:rPr>
          <w:t>DCD</w:t>
        </w:r>
      </w:hyperlink>
      <w:r>
        <w:rPr>
          <w:rFonts w:ascii="Calibri" w:hAnsi="Calibri"/>
          <w:color w:val="1E293B"/>
          <w:sz w:val="20"/>
        </w:rPr>
        <w:t>). At the same time, Huawei is actively marketing turnkey AI data-centre reference architectures across Northern and Sub-Saharan Africa (</w:t>
      </w:r>
      <w:hyperlink r:id="rId32">
        <w:r>
          <w:rPr>
            <w:rFonts w:ascii="Calibri" w:hAnsi="Calibri"/>
            <w:color w:val="B45309"/>
            <w:u w:val="single"/>
            <w:sz w:val="20"/>
          </w:rPr>
          <w:t>Huawei</w:t>
        </w:r>
      </w:hyperlink>
      <w:r>
        <w:rPr>
          <w:rFonts w:ascii="Calibri" w:hAnsi="Calibri"/>
          <w:color w:val="1E293B"/>
          <w:sz w:val="20"/>
        </w:rPr>
        <w:t>). An African government or data-centre operator that mixes US and Chinese accelerators inside a single corporate entity or network fabric risks triggering secondary sanctions that cut off access to NVIDIA/AMD silicon, US hyperscale cloud software, and Western development finance.</w:t>
      </w:r>
    </w:p>
    <w:p>
      <w:pPr>
        <w:pStyle w:val="ListBullet"/>
        <w:spacing w:before="40" w:after="60"/>
      </w:pPr>
      <w:r>
        <w:rPr>
          <w:rFonts w:ascii="Calibri" w:hAnsi="Calibri"/>
          <w:b/>
          <w:color w:val="1E293B"/>
          <w:sz w:val="20"/>
        </w:rPr>
        <w:t>Offshore AI access can be switched off overnight.</w:t>
      </w:r>
      <w:r>
        <w:rPr>
          <w:rFonts w:ascii="Calibri" w:hAnsi="Calibri"/>
          <w:color w:val="1E293B"/>
          <w:sz w:val="20"/>
        </w:rPr>
        <w:t xml:space="preserve"> In June 2026, access to several leading frontier AI models was suspended for multiple weeks across parts of Africa to comply with foreign export-control reviews before being restored in July (</w:t>
      </w:r>
      <w:hyperlink r:id="rId16">
        <w:r>
          <w:rPr>
            <w:rFonts w:ascii="Calibri" w:hAnsi="Calibri"/>
            <w:color w:val="B45309"/>
            <w:u w:val="single"/>
            <w:sz w:val="20"/>
          </w:rPr>
          <w:t>AU Startups</w:t>
        </w:r>
      </w:hyperlink>
      <w:r>
        <w:rPr>
          <w:rFonts w:ascii="Calibri" w:hAnsi="Calibri"/>
          <w:color w:val="1E293B"/>
          <w:sz w:val="20"/>
        </w:rPr>
        <w:t>). Any national tax system, customs portal, agricultural traceability registry, or hospital triage network built exclusively on offshore APIs is vulnerable to unilateral foreign regulatory disruption.</w:t>
      </w:r>
    </w:p>
    <w:p>
      <w:pPr>
        <w:pStyle w:val="ListBullet"/>
        <w:spacing w:before="40" w:after="60"/>
      </w:pPr>
      <w:r>
        <w:rPr>
          <w:rFonts w:ascii="Calibri" w:hAnsi="Calibri"/>
          <w:b/>
          <w:color w:val="1E293B"/>
          <w:sz w:val="20"/>
        </w:rPr>
        <w:t>Inference demand, open-weight agentic models, and 14-day modular AI factories are shifting the economics in Africa's favour.</w:t>
      </w:r>
      <w:r>
        <w:rPr>
          <w:rFonts w:ascii="Calibri" w:hAnsi="Calibri"/>
          <w:color w:val="1E293B"/>
          <w:sz w:val="20"/>
        </w:rPr>
        <w:t xml:space="preserve"> Industry capacity planning confirms that global compute demand for running models (inference) surpasses training compute in 2026 (</w:t>
      </w:r>
      <w:hyperlink r:id="rId32">
        <w:r>
          <w:rPr>
            <w:rFonts w:ascii="Calibri" w:hAnsi="Calibri"/>
            <w:color w:val="B45309"/>
            <w:u w:val="single"/>
            <w:sz w:val="20"/>
          </w:rPr>
          <w:t>Huawei</w:t>
        </w:r>
      </w:hyperlink>
      <w:r>
        <w:rPr>
          <w:rFonts w:ascii="Calibri" w:hAnsi="Calibri"/>
          <w:color w:val="1E293B"/>
          <w:sz w:val="20"/>
        </w:rPr>
        <w:t xml:space="preserve">). Two announcements on </w:t>
      </w:r>
      <w:r>
        <w:rPr>
          <w:rFonts w:ascii="Calibri" w:hAnsi="Calibri"/>
          <w:b/>
          <w:color w:val="1E293B"/>
          <w:sz w:val="20"/>
        </w:rPr>
        <w:t>21 October 2026 at GTC Berlin</w:t>
      </w:r>
      <w:r>
        <w:rPr>
          <w:rFonts w:ascii="Calibri" w:hAnsi="Calibri"/>
          <w:color w:val="1E293B"/>
          <w:sz w:val="20"/>
        </w:rPr>
        <w:t xml:space="preserve"> crystallise how rapidly Africa can close this gap if it acts now: first, </w:t>
      </w:r>
      <w:r>
        <w:rPr>
          <w:rFonts w:ascii="Calibri" w:hAnsi="Calibri"/>
          <w:b/>
          <w:color w:val="1E293B"/>
          <w:sz w:val="20"/>
        </w:rPr>
        <w:t>Cassava Technologies deployed NVIDIA's open-weight `Nemotron` models</w:t>
      </w:r>
      <w:r>
        <w:rPr>
          <w:rFonts w:ascii="Calibri" w:hAnsi="Calibri"/>
          <w:color w:val="1E293B"/>
          <w:sz w:val="20"/>
        </w:rPr>
        <w:t xml:space="preserve"> (including open weights, training data, and fine-tuning recipes for reasoning and tool-use agents) alongside its </w:t>
      </w:r>
      <w:r>
        <w:rPr>
          <w:rFonts w:ascii="Calibri" w:hAnsi="Calibri"/>
          <w:b/>
          <w:color w:val="1E293B"/>
          <w:sz w:val="20"/>
        </w:rPr>
        <w:t>CAIMEx Token Optimiser</w:t>
      </w:r>
      <w:r>
        <w:rPr>
          <w:rFonts w:ascii="Calibri" w:hAnsi="Calibri"/>
          <w:color w:val="1E293B"/>
          <w:sz w:val="20"/>
        </w:rPr>
        <w:t xml:space="preserve"> and </w:t>
      </w:r>
      <w:r>
        <w:rPr>
          <w:rFonts w:ascii="Calibri" w:hAnsi="Calibri"/>
          <w:b/>
          <w:color w:val="1E293B"/>
          <w:sz w:val="20"/>
        </w:rPr>
        <w:t>NVIDIA OpenShell</w:t>
      </w:r>
      <w:r>
        <w:rPr>
          <w:rFonts w:ascii="Calibri" w:hAnsi="Calibri"/>
          <w:color w:val="1E293B"/>
          <w:sz w:val="20"/>
        </w:rPr>
        <w:t xml:space="preserve"> across its Pan-African AI Factory (</w:t>
      </w:r>
      <w:hyperlink r:id="rId24">
        <w:r>
          <w:rPr>
            <w:rFonts w:ascii="Calibri" w:hAnsi="Calibri"/>
            <w:color w:val="B45309"/>
            <w:u w:val="single"/>
            <w:sz w:val="20"/>
          </w:rPr>
          <w:t>Cassava Technologies</w:t>
        </w:r>
      </w:hyperlink>
      <w:r>
        <w:rPr>
          <w:rFonts w:ascii="Calibri" w:hAnsi="Calibri"/>
          <w:color w:val="1E293B"/>
          <w:sz w:val="20"/>
        </w:rPr>
        <w:t xml:space="preserve">; </w:t>
      </w:r>
      <w:hyperlink r:id="rId33">
        <w:r>
          <w:rPr>
            <w:rFonts w:ascii="Calibri" w:hAnsi="Calibri"/>
            <w:color w:val="B45309"/>
            <w:u w:val="single"/>
            <w:sz w:val="20"/>
          </w:rPr>
          <w:t>Cassava AI</w:t>
        </w:r>
      </w:hyperlink>
      <w:r>
        <w:rPr>
          <w:rFonts w:ascii="Calibri" w:hAnsi="Calibri"/>
          <w:color w:val="1E293B"/>
          <w:sz w:val="20"/>
        </w:rPr>
        <w:t xml:space="preserve">); second, </w:t>
      </w:r>
      <w:r>
        <w:rPr>
          <w:rFonts w:ascii="Calibri" w:hAnsi="Calibri"/>
          <w:b/>
          <w:color w:val="1E293B"/>
          <w:sz w:val="20"/>
        </w:rPr>
        <w:t>NVIDIA unveiled the `DSX POD` modular, factory-built containerised AI factory</w:t>
      </w:r>
      <w:r>
        <w:rPr>
          <w:rFonts w:ascii="Calibri" w:hAnsi="Calibri"/>
          <w:color w:val="1E293B"/>
          <w:sz w:val="20"/>
        </w:rPr>
        <w:t xml:space="preserve"> (rolling out in 2027 with Crusoe, Armada, Vertiv, Schneider Electric, Dell, and HPE), which integrates liquid cooling, power, and seven Vera Rubin NVL72 racks to cut on-site deployment at prepared trapped-power sites from </w:t>
      </w:r>
      <w:r>
        <w:rPr>
          <w:rFonts w:ascii="Calibri" w:hAnsi="Calibri"/>
          <w:b/>
          <w:color w:val="1E293B"/>
          <w:sz w:val="20"/>
        </w:rPr>
        <w:t>six months to 14 days</w:t>
      </w:r>
      <w:r>
        <w:rPr>
          <w:rFonts w:ascii="Calibri" w:hAnsi="Calibri"/>
          <w:color w:val="1E293B"/>
          <w:sz w:val="20"/>
        </w:rPr>
        <w:t xml:space="preserve"> (</w:t>
      </w:r>
      <w:hyperlink r:id="rId20">
        <w:r>
          <w:rPr>
            <w:rFonts w:ascii="Calibri" w:hAnsi="Calibri"/>
            <w:color w:val="B45309"/>
            <w:u w:val="single"/>
            <w:sz w:val="20"/>
          </w:rPr>
          <w:t>NVIDIA Newsroom</w:t>
        </w:r>
      </w:hyperlink>
      <w:r>
        <w:rPr>
          <w:rFonts w:ascii="Calibri" w:hAnsi="Calibri"/>
          <w:color w:val="1E293B"/>
          <w:sz w:val="20"/>
        </w:rPr>
        <w:t xml:space="preserve">; </w:t>
      </w:r>
      <w:hyperlink r:id="rId34">
        <w:r>
          <w:rPr>
            <w:rFonts w:ascii="Calibri" w:hAnsi="Calibri"/>
            <w:color w:val="B45309"/>
            <w:u w:val="single"/>
            <w:sz w:val="20"/>
          </w:rPr>
          <w:t>Data Center Knowledge</w:t>
        </w:r>
      </w:hyperlink>
      <w:r>
        <w:rPr>
          <w:rFonts w:ascii="Calibri" w:hAnsi="Calibri"/>
          <w:color w:val="1E293B"/>
          <w:sz w:val="20"/>
        </w:rPr>
        <w:t>). Africa does not need to spend tens of billions training general-purpose foundation models from scratch; it needs low-cost domestic inference clusters, trapped-power modular pods, African-language tokenizers, and domain-specific evaluation benchmarks close to users.</w:t>
      </w:r>
    </w:p>
    <w:p>
      <w:pPr>
        <w:spacing w:before="60" w:after="120" w:line="276" w:lineRule="auto"/>
      </w:pPr>
      <w:r>
        <w:rPr>
          <w:rFonts w:ascii="Calibri" w:hAnsi="Calibri"/>
          <w:color w:val="1E293B"/>
          <w:sz w:val="21"/>
        </w:rPr>
        <w:t>The strategic conclusion is unambiguous: Nigeria and its continental partners must secure energy-backed domestic compute capacity, legally ring-fenced multi-vendor supply contracts, and pooled regional bargaining power between 2026 and 2031 while global supply rules remain open to negotiation.</w:t>
      </w:r>
    </w:p>
    <w:p>
      <w:pPr>
        <w:keepNext/>
        <w:spacing w:before="320" w:after="120"/>
        <w:pBdr>
          <w:bottom w:val="single" w:sz="12" w:space="4" w:color="B45309"/>
        </w:pBdr>
      </w:pPr>
      <w:r>
        <w:rPr>
          <w:rFonts w:ascii="Calibri" w:hAnsi="Calibri"/>
          <w:b/>
          <w:color w:val="0A3D1F"/>
          <w:sz w:val="29"/>
        </w:rPr>
        <w:t>2. Where Africa and Nigeria stand: structural barriers and the energy advantage</w:t>
      </w:r>
    </w:p>
    <w:p>
      <w:pPr>
        <w:spacing w:before="60" w:after="120" w:line="276" w:lineRule="auto"/>
      </w:pPr>
      <w:r>
        <w:rPr>
          <w:rFonts w:ascii="Calibri" w:hAnsi="Calibri"/>
          <w:color w:val="1E293B"/>
          <w:sz w:val="21"/>
        </w:rPr>
        <w:t>Nigeria possesses the natural gas reserves, domestic market scale, submarine fibre connectivity, and early private data-centre pipeline required to anchor West and Central African compute. Yet artificial intelligence remains prohibitively expensive and under-utilised across the Nigerian economy because four structural barriers inflate the cost of every token generated and prevent solutions from reaching citizens.</w:t>
      </w:r>
    </w:p>
    <w:p>
      <w:pPr>
        <w:keepNext/>
        <w:spacing w:before="220" w:after="80"/>
      </w:pPr>
      <w:r>
        <w:rPr>
          <w:rFonts w:ascii="Calibri" w:hAnsi="Calibri"/>
          <w:b/>
          <w:color w:val="B45309"/>
          <w:sz w:val="23"/>
        </w:rPr>
        <w:t>Table 1: The Four Structural Barriers Inflating African AI Token Costs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Structural Barrier</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Operational Mechanism in Nigeria</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Empirical Evidence &amp; Cost Penalty</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 Offshore Compute &amp; Data Hosting</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Up to 90% of Nigerian institutional data and AI workloads are routed to European or US data centres, incurring international IP transit latency, cloud egress charges, and foreign legal jurisdiction.</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Africa holds 0.6%–2% of global data-centre capacity and &lt;1% of compute (</w:t>
            </w:r>
            <w:hyperlink r:id="rId11">
              <w:r>
                <w:rPr>
                  <w:rFonts w:ascii="Calibri" w:hAnsi="Calibri"/>
                  <w:color w:val="B45309"/>
                  <w:u w:val="single"/>
                  <w:sz w:val="17"/>
                </w:rPr>
                <w:t>Guardian Nigeria</w:t>
              </w:r>
            </w:hyperlink>
            <w:r>
              <w:rPr>
                <w:rFonts w:ascii="Calibri" w:hAnsi="Calibri"/>
                <w:color w:val="1E293B"/>
                <w:sz w:val="17"/>
              </w:rPr>
              <w:t xml:space="preserve">; </w:t>
            </w:r>
            <w:hyperlink r:id="rId12">
              <w:r>
                <w:rPr>
                  <w:rFonts w:ascii="Calibri" w:hAnsi="Calibri"/>
                  <w:color w:val="B45309"/>
                  <w:u w:val="single"/>
                  <w:sz w:val="17"/>
                </w:rPr>
                <w:t>BusinessDay</w:t>
              </w:r>
            </w:hyperlink>
            <w:r>
              <w:rPr>
                <w:rFonts w:ascii="Calibri" w:hAnsi="Calibri"/>
                <w:color w:val="1E293B"/>
                <w:sz w:val="17"/>
              </w:rPr>
              <w:t>). NITDA and NDPC warned in April 2026 that ~90% of Nigerian data is hosted abroad (</w:t>
            </w:r>
            <w:hyperlink r:id="rId35">
              <w:r>
                <w:rPr>
                  <w:rFonts w:ascii="Calibri" w:hAnsi="Calibri"/>
                  <w:color w:val="B45309"/>
                  <w:u w:val="single"/>
                  <w:sz w:val="17"/>
                </w:rPr>
                <w:t>Techeconomy</w:t>
              </w:r>
            </w:hyperlink>
            <w:r>
              <w:rPr>
                <w:rFonts w:ascii="Calibri" w:hAnsi="Calibri"/>
                <w:color w:val="1E293B"/>
                <w:sz w:val="17"/>
              </w:rPr>
              <w:t>).</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2. Foreign-Exchange Billing Drain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Global cloud and AI API providers bill exclusively in US dollars. Every naira depreciation immediately inflates domestic public-sector and startup compute budgets.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Nigerian institutions spend an estimated </w:t>
            </w:r>
            <w:r>
              <w:rPr>
                <w:rFonts w:ascii="Calibri" w:hAnsi="Calibri"/>
                <w:b/>
                <w:color w:val="1E293B"/>
                <w:sz w:val="17"/>
              </w:rPr>
              <w:t>$850 million per year</w:t>
            </w:r>
            <w:r>
              <w:rPr>
                <w:rFonts w:ascii="Calibri" w:hAnsi="Calibri"/>
                <w:color w:val="1E293B"/>
                <w:sz w:val="17"/>
              </w:rPr>
              <w:t xml:space="preserve"> on offshore cloud services (</w:t>
            </w:r>
            <w:hyperlink r:id="rId13">
              <w:r>
                <w:rPr>
                  <w:rFonts w:ascii="Calibri" w:hAnsi="Calibri"/>
                  <w:color w:val="B45309"/>
                  <w:u w:val="single"/>
                  <w:sz w:val="17"/>
                </w:rPr>
                <w:t>NSIA</w:t>
              </w:r>
            </w:hyperlink>
            <w:r>
              <w:rPr>
                <w:rFonts w:ascii="Calibri" w:hAnsi="Calibri"/>
                <w:color w:val="1E293B"/>
                <w:sz w:val="17"/>
              </w:rPr>
              <w:t>). Local startups absorb severe FX spreads on dollar-denominated GPU rentals (</w:t>
            </w:r>
            <w:hyperlink r:id="rId36">
              <w:r>
                <w:rPr>
                  <w:rFonts w:ascii="Calibri" w:hAnsi="Calibri"/>
                  <w:color w:val="B45309"/>
                  <w:u w:val="single"/>
                  <w:sz w:val="17"/>
                </w:rPr>
                <w:t>Techpoint Africa</w:t>
              </w:r>
            </w:hyperlink>
            <w:r>
              <w:rPr>
                <w:rFonts w:ascii="Calibri" w:hAnsi="Calibri"/>
                <w:color w:val="1E293B"/>
                <w:sz w:val="17"/>
              </w:rPr>
              <w:t>).</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3. The African Language "Token Tax"</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Frontier byte-pair encoding tokenizers fragment Nigerian languages into excessive sub-word units, multiplying compute cost, latency, and context-window consumption while degrading accuracy.</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Across 20 African languages tested, every language costs more tokens than English—a </w:t>
            </w:r>
            <w:r>
              <w:rPr>
                <w:rFonts w:ascii="Calibri" w:hAnsi="Calibri"/>
                <w:b/>
                <w:color w:val="1E293B"/>
                <w:sz w:val="17"/>
              </w:rPr>
              <w:t>median 1.88x penalty and up to 8.92x</w:t>
            </w:r>
            <w:r>
              <w:rPr>
                <w:rFonts w:ascii="Calibri" w:hAnsi="Calibri"/>
                <w:color w:val="1E293B"/>
                <w:sz w:val="17"/>
              </w:rPr>
              <w:t xml:space="preserve"> (</w:t>
            </w:r>
            <w:hyperlink r:id="rId14">
              <w:r>
                <w:rPr>
                  <w:rFonts w:ascii="Calibri" w:hAnsi="Calibri"/>
                  <w:color w:val="B45309"/>
                  <w:u w:val="single"/>
                  <w:sz w:val="17"/>
                </w:rPr>
                <w:t>arXiv 2606.24460</w:t>
              </w:r>
            </w:hyperlink>
            <w:r>
              <w:rPr>
                <w:rFonts w:ascii="Calibri" w:hAnsi="Calibri"/>
                <w:color w:val="1E293B"/>
                <w:sz w:val="17"/>
              </w:rPr>
              <w:t xml:space="preserve">). Models trail English by </w:t>
            </w:r>
            <w:r>
              <w:rPr>
                <w:rFonts w:ascii="Calibri" w:hAnsi="Calibri"/>
                <w:b/>
                <w:color w:val="1E293B"/>
                <w:sz w:val="17"/>
              </w:rPr>
              <w:t>25 accuracy points</w:t>
            </w:r>
            <w:r>
              <w:rPr>
                <w:rFonts w:ascii="Calibri" w:hAnsi="Calibri"/>
                <w:color w:val="1E293B"/>
                <w:sz w:val="17"/>
              </w:rPr>
              <w:t xml:space="preserve"> on average across 16 African languages, losing 8–18 points per extra token per word (</w:t>
            </w:r>
            <w:hyperlink r:id="rId15">
              <w:r>
                <w:rPr>
                  <w:rFonts w:ascii="Calibri" w:hAnsi="Calibri"/>
                  <w:color w:val="B45309"/>
                  <w:u w:val="single"/>
                  <w:sz w:val="17"/>
                </w:rPr>
                <w:t>arXiv 2509.05486</w:t>
              </w:r>
            </w:hyperlink>
            <w:r>
              <w:rPr>
                <w:rFonts w:ascii="Calibri" w:hAnsi="Calibri"/>
                <w:color w:val="1E293B"/>
                <w:sz w:val="17"/>
              </w:rPr>
              <w:t>).</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4. Diesel Power &amp; Last-Mile Friction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Unreliable grid power forces existing Nigerian data centres onto captive diesel generation, while high mobile data costs and text-only interfaces exclude rural smallholders and informal SMEs.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Captive diesel power costs </w:t>
            </w:r>
            <w:r>
              <w:rPr>
                <w:rFonts w:ascii="Calibri" w:hAnsi="Calibri"/>
                <w:b/>
                <w:color w:val="1E293B"/>
                <w:sz w:val="17"/>
              </w:rPr>
              <w:t>$0.28–$0.33 per kWh</w:t>
            </w:r>
            <w:r>
              <w:rPr>
                <w:rFonts w:ascii="Calibri" w:hAnsi="Calibri"/>
                <w:color w:val="1E293B"/>
                <w:sz w:val="17"/>
              </w:rPr>
              <w:t xml:space="preserve"> in Nigeria (</w:t>
            </w:r>
            <w:hyperlink r:id="rId37">
              <w:r>
                <w:rPr>
                  <w:rFonts w:ascii="Calibri" w:hAnsi="Calibri"/>
                  <w:color w:val="B45309"/>
                  <w:u w:val="single"/>
                  <w:sz w:val="17"/>
                </w:rPr>
                <w:t>Ecofin</w:t>
              </w:r>
            </w:hyperlink>
            <w:r>
              <w:rPr>
                <w:rFonts w:ascii="Calibri" w:hAnsi="Calibri"/>
                <w:color w:val="1E293B"/>
                <w:sz w:val="17"/>
              </w:rPr>
              <w:t>), triple the global hyperscale benchmark, while broadband penetration stood at 56.1% (157.4M subscriptions) in May 2026 (</w:t>
            </w:r>
            <w:hyperlink r:id="rId38">
              <w:r>
                <w:rPr>
                  <w:rFonts w:ascii="Calibri" w:hAnsi="Calibri"/>
                  <w:color w:val="B45309"/>
                  <w:u w:val="single"/>
                  <w:sz w:val="17"/>
                </w:rPr>
                <w:t>Techeconomy</w:t>
              </w:r>
            </w:hyperlink>
            <w:r>
              <w:rPr>
                <w:rFonts w:ascii="Calibri" w:hAnsi="Calibri"/>
                <w:color w:val="1E293B"/>
                <w:sz w:val="17"/>
              </w:rPr>
              <w:t>).</w:t>
            </w:r>
          </w:p>
        </w:tc>
      </w:tr>
    </w:tbl>
    <w:p>
      <w:pPr>
        <w:spacing w:before="0" w:after="120"/>
      </w:pPr>
    </w:p>
    <w:p>
      <w:pPr>
        <w:keepNext/>
        <w:spacing w:before="220" w:after="80"/>
      </w:pPr>
      <w:r>
        <w:rPr>
          <w:rFonts w:ascii="Calibri" w:hAnsi="Calibri"/>
          <w:b/>
          <w:color w:val="0A3D1F"/>
          <w:sz w:val="23"/>
        </w:rPr>
        <w:t>The gas-to-compute advantage and the 2026 Nigerian pipeline</w:t>
      </w:r>
    </w:p>
    <w:p>
      <w:pPr>
        <w:spacing w:before="60" w:after="120" w:line="276" w:lineRule="auto"/>
      </w:pPr>
      <w:r>
        <w:rPr>
          <w:rFonts w:ascii="Calibri" w:hAnsi="Calibri"/>
          <w:color w:val="1E293B"/>
          <w:sz w:val="21"/>
        </w:rPr>
        <w:t xml:space="preserve">While power availability has become the single greatest bottleneck for AI data-centre construction in North America, Europe, and East Asia, Nigeria holds over </w:t>
      </w:r>
      <w:r>
        <w:rPr>
          <w:rFonts w:ascii="Calibri" w:hAnsi="Calibri"/>
          <w:b/>
          <w:color w:val="1E293B"/>
          <w:sz w:val="21"/>
        </w:rPr>
        <w:t>200 trillion cubic feet of proven natural gas reserves</w:t>
      </w:r>
      <w:r>
        <w:rPr>
          <w:rFonts w:ascii="Calibri" w:hAnsi="Calibri"/>
          <w:color w:val="1E293B"/>
          <w:sz w:val="21"/>
        </w:rPr>
        <w:t xml:space="preserve"> (</w:t>
      </w:r>
      <w:hyperlink r:id="rId11">
        <w:r>
          <w:rPr>
            <w:rFonts w:ascii="Calibri" w:hAnsi="Calibri"/>
            <w:color w:val="B45309"/>
            <w:u w:val="single"/>
            <w:sz w:val="21"/>
          </w:rPr>
          <w:t>Guardian Nigeria</w:t>
        </w:r>
      </w:hyperlink>
      <w:r>
        <w:rPr>
          <w:rFonts w:ascii="Calibri" w:hAnsi="Calibri"/>
          <w:color w:val="1E293B"/>
          <w:sz w:val="21"/>
        </w:rPr>
        <w:t xml:space="preserve">). Converting stranded or flared gas into dedicated, pipeline-fed combined-cycle power for adjacent data-centre zones can bring electricity tariffs down from $0.28–$0.33/kWh (diesel) to an indicative </w:t>
      </w:r>
      <w:r>
        <w:rPr>
          <w:rFonts w:ascii="Calibri" w:hAnsi="Calibri"/>
          <w:b/>
          <w:color w:val="1E293B"/>
          <w:sz w:val="21"/>
        </w:rPr>
        <w:t>$0.04–$0.06/kWh</w:t>
      </w:r>
      <w:r>
        <w:rPr>
          <w:rFonts w:ascii="Calibri" w:hAnsi="Calibri"/>
          <w:color w:val="1E293B"/>
          <w:sz w:val="21"/>
        </w:rPr>
        <w:t>. Because power represents 40% to 60% of the lifetime operating cost of an AI inference cluster, gas-backed power is the single largest structural lever on domestic token cost.</w:t>
      </w:r>
    </w:p>
    <w:p>
      <w:pPr>
        <w:spacing w:before="60" w:after="120" w:line="276" w:lineRule="auto"/>
      </w:pPr>
      <w:r>
        <w:rPr>
          <w:rFonts w:ascii="Calibri" w:hAnsi="Calibri"/>
          <w:color w:val="1E293B"/>
          <w:sz w:val="21"/>
        </w:rPr>
        <w:t>Crucially, Nigeria is no longer starting from zero. Commercial hyperscale and AI-ready capacity began arriving in Lagos and Ogun State during 2025 and 2026:</w:t>
      </w:r>
    </w:p>
    <w:p>
      <w:pPr>
        <w:keepNext/>
        <w:spacing w:before="220" w:after="80"/>
      </w:pPr>
      <w:r>
        <w:rPr>
          <w:rFonts w:ascii="Calibri" w:hAnsi="Calibri"/>
          <w:b/>
          <w:color w:val="B45309"/>
          <w:sz w:val="23"/>
        </w:rPr>
        <w:t>Table 2: Nigeria's Active AI-Capable Data Centre and GPU Pipeline (As of October 2026)</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Project &amp; Location</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Sponsors / Operators</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Planned Scale &amp; Capital Commitment</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Operational Status &amp; Source</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Kasi Hyperscale Campus (Lekki, Lagos)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Kasi Cloud, backed by Nigeria Sovereign Investment Authority (NSIA)</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Up to </w:t>
            </w:r>
            <w:r>
              <w:rPr>
                <w:rFonts w:ascii="Calibri" w:hAnsi="Calibri"/>
                <w:b/>
                <w:color w:val="1E293B"/>
                <w:sz w:val="17"/>
              </w:rPr>
              <w:t>100 MW</w:t>
            </w:r>
            <w:r>
              <w:rPr>
                <w:rFonts w:ascii="Calibri" w:hAnsi="Calibri"/>
                <w:color w:val="1E293B"/>
                <w:sz w:val="17"/>
              </w:rPr>
              <w:t xml:space="preserve"> planned campus (5.5 MW Phase 1 AI-capable hall)</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Commissioned June 2026 (</w:t>
            </w:r>
            <w:hyperlink r:id="rId13">
              <w:r>
                <w:rPr>
                  <w:rFonts w:ascii="Calibri" w:hAnsi="Calibri"/>
                  <w:color w:val="B45309"/>
                  <w:u w:val="single"/>
                  <w:sz w:val="17"/>
                </w:rPr>
                <w:t>NSIA</w:t>
              </w:r>
            </w:hyperlink>
            <w:r>
              <w:rPr>
                <w:rFonts w:ascii="Calibri" w:hAnsi="Calibri"/>
                <w:color w:val="1E293B"/>
                <w:sz w:val="17"/>
              </w:rPr>
              <w:t xml:space="preserve">; </w:t>
            </w:r>
            <w:hyperlink r:id="rId39">
              <w:r>
                <w:rPr>
                  <w:rFonts w:ascii="Calibri" w:hAnsi="Calibri"/>
                  <w:color w:val="B45309"/>
                  <w:u w:val="single"/>
                  <w:sz w:val="17"/>
                </w:rPr>
                <w:t>Daily Trust</w:t>
              </w:r>
            </w:hyperlink>
            <w:r>
              <w:rPr>
                <w:rFonts w:ascii="Calibri" w:hAnsi="Calibri"/>
                <w:color w:val="1E293B"/>
                <w:sz w:val="17"/>
              </w:rPr>
              <w:t xml:space="preserve">; </w:t>
            </w:r>
            <w:hyperlink r:id="rId12">
              <w:r>
                <w:rPr>
                  <w:rFonts w:ascii="Calibri" w:hAnsi="Calibri"/>
                  <w:color w:val="B45309"/>
                  <w:u w:val="single"/>
                  <w:sz w:val="17"/>
                </w:rPr>
                <w:t>BusinessDay</w:t>
              </w:r>
            </w:hyperlink>
            <w:r>
              <w:rPr>
                <w:rFonts w:ascii="Calibri" w:hAnsi="Calibri"/>
                <w:color w:val="1E293B"/>
                <w:sz w:val="17"/>
              </w:rPr>
              <w: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MTN Genova Data Centre Phase 2 (Ikeja, Lagos)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MTN Nigeria</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AI-optimised high-density GPU pods; </w:t>
            </w:r>
            <w:r>
              <w:rPr>
                <w:rFonts w:ascii="Calibri" w:hAnsi="Calibri"/>
                <w:b/>
                <w:color w:val="1E293B"/>
                <w:sz w:val="17"/>
              </w:rPr>
              <w:t>$240–$250 million</w:t>
            </w:r>
            <w:r>
              <w:rPr>
                <w:rFonts w:ascii="Calibri" w:hAnsi="Calibri"/>
                <w:color w:val="1E293B"/>
                <w:sz w:val="17"/>
              </w:rPr>
              <w:t xml:space="preserve"> investment</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Scheduled online H2 / late 2026 (</w:t>
            </w:r>
            <w:hyperlink r:id="rId12">
              <w:r>
                <w:rPr>
                  <w:rFonts w:ascii="Calibri" w:hAnsi="Calibri"/>
                  <w:color w:val="B45309"/>
                  <w:u w:val="single"/>
                  <w:sz w:val="17"/>
                </w:rPr>
                <w:t>BusinessDay</w:t>
              </w:r>
            </w:hyperlink>
            <w:r>
              <w:rPr>
                <w:rFonts w:ascii="Calibri" w:hAnsi="Calibri"/>
                <w:color w:val="1E293B"/>
                <w:sz w:val="17"/>
              </w:rPr>
              <w: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Nxtra by Airtel Hyperscale (Eko Atlantic, Lagos)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Airtel Nigeria</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38 MW</w:t>
            </w:r>
            <w:r>
              <w:rPr>
                <w:rFonts w:ascii="Calibri" w:hAnsi="Calibri"/>
                <w:color w:val="1E293B"/>
                <w:sz w:val="17"/>
              </w:rPr>
              <w:t xml:space="preserve"> AI-focused facility; </w:t>
            </w:r>
            <w:r>
              <w:rPr>
                <w:rFonts w:ascii="Calibri" w:hAnsi="Calibri"/>
                <w:b/>
                <w:color w:val="1E293B"/>
                <w:sz w:val="17"/>
              </w:rPr>
              <w:t>$120 million</w:t>
            </w:r>
            <w:r>
              <w:rPr>
                <w:rFonts w:ascii="Calibri" w:hAnsi="Calibri"/>
                <w:color w:val="1E293B"/>
                <w:sz w:val="17"/>
              </w:rPr>
              <w:t xml:space="preserve"> investment</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Due 2026; initial GPU clusters delivered (</w:t>
            </w:r>
            <w:hyperlink r:id="rId40">
              <w:r>
                <w:rPr>
                  <w:rFonts w:ascii="Calibri" w:hAnsi="Calibri"/>
                  <w:color w:val="B45309"/>
                  <w:u w:val="single"/>
                  <w:sz w:val="17"/>
                </w:rPr>
                <w:t>Daba Finance</w:t>
              </w:r>
            </w:hyperlink>
            <w:r>
              <w:rPr>
                <w:rFonts w:ascii="Calibri" w:hAnsi="Calibri"/>
                <w:color w:val="1E293B"/>
                <w:sz w:val="17"/>
              </w:rPr>
              <w: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Ogun Gas-Powered AI Data Centre (Ogun State)</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Tetracore Energy, Huawei, Inspirive</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20 MW IT load</w:t>
            </w:r>
            <w:r>
              <w:rPr>
                <w:rFonts w:ascii="Calibri" w:hAnsi="Calibri"/>
                <w:color w:val="1E293B"/>
                <w:sz w:val="17"/>
              </w:rPr>
              <w:t xml:space="preserve"> backed by dedicated </w:t>
            </w:r>
            <w:r>
              <w:rPr>
                <w:rFonts w:ascii="Calibri" w:hAnsi="Calibri"/>
                <w:b/>
                <w:color w:val="1E293B"/>
                <w:sz w:val="17"/>
              </w:rPr>
              <w:t>100 MW gas plant</w:t>
            </w:r>
            <w:r>
              <w:rPr>
                <w:rFonts w:ascii="Calibri" w:hAnsi="Calibri"/>
                <w:color w:val="1E293B"/>
                <w:sz w:val="17"/>
              </w:rPr>
              <w:t xml:space="preserve">; </w:t>
            </w:r>
            <w:r>
              <w:rPr>
                <w:rFonts w:ascii="Calibri" w:hAnsi="Calibri"/>
                <w:b/>
                <w:color w:val="1E293B"/>
                <w:sz w:val="17"/>
              </w:rPr>
              <w:t>$400 million</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Announced March 2026 (</w:t>
            </w:r>
            <w:hyperlink r:id="rId41">
              <w:r>
                <w:rPr>
                  <w:rFonts w:ascii="Calibri" w:hAnsi="Calibri"/>
                  <w:color w:val="B45309"/>
                  <w:u w:val="single"/>
                  <w:sz w:val="17"/>
                </w:rPr>
                <w:t>News Ghana</w:t>
              </w:r>
            </w:hyperlink>
            <w:r>
              <w:rPr>
                <w:rFonts w:ascii="Calibri" w:hAnsi="Calibri"/>
                <w:color w:val="1E293B"/>
                <w:sz w:val="17"/>
              </w:rPr>
              <w: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Pan-African AI Factory, `CAIMEx` &amp; `NVIDIA Nemotron` (Nigeria Expansion)</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Cassava Technologies (Africa Data Centres / Liquid) &amp; NVIDIA</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12,000 GPUs</w:t>
            </w:r>
            <w:r>
              <w:rPr>
                <w:rFonts w:ascii="Calibri" w:hAnsi="Calibri"/>
                <w:color w:val="1E293B"/>
                <w:sz w:val="17"/>
              </w:rPr>
              <w:t xml:space="preserve"> across Africa over 3–4 years (</w:t>
            </w:r>
            <w:r>
              <w:rPr>
                <w:rFonts w:ascii="Calibri" w:hAnsi="Calibri"/>
                <w:b/>
                <w:color w:val="1E293B"/>
                <w:sz w:val="17"/>
              </w:rPr>
              <w:t>up to $720 million</w:t>
            </w:r>
            <w:r>
              <w:rPr>
                <w:rFonts w:ascii="Calibri" w:hAnsi="Calibri"/>
                <w:color w:val="1E293B"/>
                <w:sz w:val="17"/>
              </w:rPr>
              <w:t xml:space="preserve">); deployed </w:t>
            </w:r>
            <w:r>
              <w:rPr>
                <w:rFonts w:ascii="Calibri" w:hAnsi="Calibri"/>
                <w:b/>
                <w:color w:val="1E293B"/>
                <w:sz w:val="17"/>
              </w:rPr>
              <w:t>open-weight `NVIDIA Nemotron`</w:t>
            </w:r>
            <w:r>
              <w:rPr>
                <w:rFonts w:ascii="Calibri" w:hAnsi="Calibri"/>
                <w:color w:val="1E293B"/>
                <w:sz w:val="17"/>
              </w:rPr>
              <w:t xml:space="preserve">, </w:t>
            </w:r>
            <w:r>
              <w:rPr>
                <w:rFonts w:ascii="Calibri" w:hAnsi="Calibri"/>
                <w:b/>
                <w:color w:val="1E293B"/>
                <w:sz w:val="17"/>
              </w:rPr>
              <w:t>`CAIMEx Token Optimiser`</w:t>
            </w:r>
            <w:r>
              <w:rPr>
                <w:rFonts w:ascii="Calibri" w:hAnsi="Calibri"/>
                <w:color w:val="1E293B"/>
                <w:sz w:val="17"/>
              </w:rPr>
              <w:t xml:space="preserve"> &amp; </w:t>
            </w:r>
            <w:r>
              <w:rPr>
                <w:rFonts w:ascii="Calibri" w:hAnsi="Calibri"/>
                <w:b/>
                <w:color w:val="1E293B"/>
                <w:sz w:val="17"/>
              </w:rPr>
              <w:t>`NVIDIA OpenShell`</w:t>
            </w:r>
            <w:r>
              <w:rPr>
                <w:rFonts w:ascii="Calibri" w:hAnsi="Calibri"/>
                <w:color w:val="1E293B"/>
                <w:sz w:val="17"/>
              </w:rPr>
              <w:t xml:space="preserve"> on 21 Oct 2026</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3,000 GPUs operational; Nemotron &amp; CAIMEx live Oct 2026 (</w:t>
            </w:r>
            <w:hyperlink r:id="rId42">
              <w:r>
                <w:rPr>
                  <w:rFonts w:ascii="Calibri" w:hAnsi="Calibri"/>
                  <w:color w:val="B45309"/>
                  <w:u w:val="single"/>
                  <w:sz w:val="17"/>
                </w:rPr>
                <w:t>Spheron</w:t>
              </w:r>
            </w:hyperlink>
            <w:r>
              <w:rPr>
                <w:rFonts w:ascii="Calibri" w:hAnsi="Calibri"/>
                <w:color w:val="1E293B"/>
                <w:sz w:val="17"/>
              </w:rPr>
              <w:t xml:space="preserve">; </w:t>
            </w:r>
            <w:hyperlink r:id="rId24">
              <w:r>
                <w:rPr>
                  <w:rFonts w:ascii="Calibri" w:hAnsi="Calibri"/>
                  <w:color w:val="B45309"/>
                  <w:u w:val="single"/>
                  <w:sz w:val="17"/>
                </w:rPr>
                <w:t>Cassava Technologies</w:t>
              </w:r>
            </w:hyperlink>
            <w:r>
              <w:rPr>
                <w:rFonts w:ascii="Calibri" w:hAnsi="Calibri"/>
                <w:color w:val="1E293B"/>
                <w:sz w:val="17"/>
              </w:rPr>
              <w:t xml:space="preserve">; </w:t>
            </w:r>
            <w:hyperlink r:id="rId25">
              <w:r>
                <w:rPr>
                  <w:rFonts w:ascii="Calibri" w:hAnsi="Calibri"/>
                  <w:color w:val="B45309"/>
                  <w:u w:val="single"/>
                  <w:sz w:val="17"/>
                </w:rPr>
                <w:t>Tech.Africa</w:t>
              </w:r>
            </w:hyperlink>
            <w:r>
              <w:rPr>
                <w:rFonts w:ascii="Calibri" w:hAnsi="Calibri"/>
                <w:color w:val="1E293B"/>
                <w:sz w:val="17"/>
              </w:rPr>
              <w: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Modular Trapped-Power AI Factories (`NVIDIA DSX POD` Ecosystem)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NVIDIA with Crusoe, Armada, Vertiv, Schneider Electric, Eaton, Dell, HPE, Lenovo &amp; Distributed Power Africa</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Pre-validated containerised </w:t>
            </w:r>
            <w:r>
              <w:rPr>
                <w:rFonts w:ascii="Calibri" w:hAnsi="Calibri"/>
                <w:b/>
                <w:color w:val="1E293B"/>
                <w:sz w:val="17"/>
              </w:rPr>
              <w:t>Vera Rubin NVL72</w:t>
            </w:r>
            <w:r>
              <w:rPr>
                <w:rFonts w:ascii="Calibri" w:hAnsi="Calibri"/>
                <w:color w:val="1E293B"/>
                <w:sz w:val="17"/>
              </w:rPr>
              <w:t xml:space="preserve"> pods with integrated closed-loop liquid cooling; </w:t>
            </w:r>
            <w:r>
              <w:rPr>
                <w:rFonts w:ascii="Calibri" w:hAnsi="Calibri"/>
                <w:b/>
                <w:color w:val="1E293B"/>
                <w:sz w:val="17"/>
              </w:rPr>
              <w:t>14-day on-site deployment</w:t>
            </w:r>
            <w:r>
              <w:rPr>
                <w:rFonts w:ascii="Calibri" w:hAnsi="Calibri"/>
                <w:color w:val="1E293B"/>
                <w:sz w:val="17"/>
              </w:rPr>
              <w:t xml:space="preserve"> at stranded gas/hydro plants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Unveiled 21 Oct 2026 at GTC Berlin; commercial units delivering in </w:t>
            </w:r>
            <w:r>
              <w:rPr>
                <w:rFonts w:ascii="Calibri" w:hAnsi="Calibri"/>
                <w:b/>
                <w:color w:val="1E293B"/>
                <w:sz w:val="17"/>
              </w:rPr>
              <w:t>2027</w:t>
            </w:r>
            <w:r>
              <w:rPr>
                <w:rFonts w:ascii="Calibri" w:hAnsi="Calibri"/>
                <w:color w:val="1E293B"/>
                <w:sz w:val="17"/>
              </w:rPr>
              <w:t xml:space="preserve"> (</w:t>
            </w:r>
            <w:hyperlink r:id="rId20">
              <w:r>
                <w:rPr>
                  <w:rFonts w:ascii="Calibri" w:hAnsi="Calibri"/>
                  <w:color w:val="B45309"/>
                  <w:u w:val="single"/>
                  <w:sz w:val="17"/>
                </w:rPr>
                <w:t>NVIDIA Newsroom</w:t>
              </w:r>
            </w:hyperlink>
            <w:r>
              <w:rPr>
                <w:rFonts w:ascii="Calibri" w:hAnsi="Calibri"/>
                <w:color w:val="1E293B"/>
                <w:sz w:val="17"/>
              </w:rPr>
              <w:t xml:space="preserve">; </w:t>
            </w:r>
            <w:hyperlink r:id="rId43">
              <w:r>
                <w:rPr>
                  <w:rFonts w:ascii="Calibri" w:hAnsi="Calibri"/>
                  <w:color w:val="B45309"/>
                  <w:u w:val="single"/>
                  <w:sz w:val="17"/>
                </w:rPr>
                <w:t>NVIDIA DSX POD</w:t>
              </w:r>
            </w:hyperlink>
            <w:r>
              <w:rPr>
                <w:rFonts w:ascii="Calibri" w:hAnsi="Calibri"/>
                <w:color w:val="1E293B"/>
                <w:sz w:val="17"/>
              </w:rPr>
              <w: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Rack Centre LGS2 Campus (Ikeja, Lagos)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Rack Centre (Actis-backed)</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12 MW</w:t>
            </w:r>
            <w:r>
              <w:rPr>
                <w:rFonts w:ascii="Calibri" w:hAnsi="Calibri"/>
                <w:color w:val="1E293B"/>
                <w:sz w:val="17"/>
              </w:rPr>
              <w:t xml:space="preserve"> AI-ready carrier-neutral facility</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Launched 2025 (</w:t>
            </w:r>
            <w:hyperlink r:id="rId44">
              <w:r>
                <w:rPr>
                  <w:rFonts w:ascii="Calibri" w:hAnsi="Calibri"/>
                  <w:color w:val="B45309"/>
                  <w:u w:val="single"/>
                  <w:sz w:val="17"/>
                </w:rPr>
                <w:t>TechCabal</w:t>
              </w:r>
            </w:hyperlink>
            <w:r>
              <w:rPr>
                <w:rFonts w:ascii="Calibri" w:hAnsi="Calibri"/>
                <w:color w:val="1E293B"/>
                <w:sz w:val="17"/>
              </w:rPr>
              <w: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Colocation, Carrier &amp; Subsea Peers (Lagos &amp; Regional)</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MainOne (Equinix), Open Access Data Centres (OADC / WIOCC), Africa Data Centres (Cassava Group), Medallion (Digital Realty)</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Carrier-neutral colocation, subsea cable landings (Equiano, 2Africa, MainOne, WACS), and metro fibre rings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Operational across Lagos/Lekki/Victoria Island; foundational interconnection fabric (</w:t>
            </w:r>
            <w:hyperlink r:id="rId12">
              <w:r>
                <w:rPr>
                  <w:rFonts w:ascii="Calibri" w:hAnsi="Calibri"/>
                  <w:color w:val="B45309"/>
                  <w:u w:val="single"/>
                  <w:sz w:val="17"/>
                </w:rPr>
                <w:t>BusinessDay</w:t>
              </w:r>
            </w:hyperlink>
            <w:r>
              <w:rPr>
                <w:rFonts w:ascii="Calibri" w:hAnsi="Calibri"/>
                <w:color w:val="1E293B"/>
                <w:sz w:val="17"/>
              </w:rPr>
              <w:t xml:space="preserve">; </w:t>
            </w:r>
            <w:hyperlink r:id="rId42">
              <w:r>
                <w:rPr>
                  <w:rFonts w:ascii="Calibri" w:hAnsi="Calibri"/>
                  <w:color w:val="B45309"/>
                  <w:u w:val="single"/>
                  <w:sz w:val="17"/>
                </w:rPr>
                <w:t>Spheron</w:t>
              </w:r>
            </w:hyperlink>
            <w:r>
              <w:rPr>
                <w:rFonts w:ascii="Calibri" w:hAnsi="Calibri"/>
                <w:color w:val="1E293B"/>
                <w:sz w:val="17"/>
              </w:rPr>
              <w:t>)</w:t>
            </w:r>
          </w:p>
        </w:tc>
      </w:tr>
    </w:tbl>
    <w:p>
      <w:pPr>
        <w:spacing w:before="0" w:after="120"/>
      </w:pPr>
    </w:p>
    <w:p>
      <w:pPr>
        <w:spacing w:before="60" w:after="120" w:line="276" w:lineRule="auto"/>
      </w:pPr>
      <w:r>
        <w:rPr>
          <w:rFonts w:ascii="Calibri" w:hAnsi="Calibri"/>
          <w:color w:val="1E293B"/>
          <w:sz w:val="21"/>
        </w:rPr>
        <w:t>These private projects prove that commercial appetite exists. However, without sovereign coordination, dedicated gas-to-power pricing, naira-settled public demand, and a deliberate token allocation mechanism, private facilities will remain small, dollar-priced islands serving multinational corporate clients rather than transforming Nigeria's productive economy.</w:t>
      </w:r>
    </w:p>
    <w:p>
      <w:pPr>
        <w:keepNext/>
        <w:spacing w:before="320" w:after="120"/>
        <w:pBdr>
          <w:bottom w:val="single" w:sz="12" w:space="4" w:color="B45309"/>
        </w:pBdr>
      </w:pPr>
      <w:r>
        <w:rPr>
          <w:rFonts w:ascii="Calibri" w:hAnsi="Calibri"/>
          <w:b/>
          <w:color w:val="0A3D1F"/>
          <w:sz w:val="29"/>
        </w:rPr>
        <w:t>3. Institutional harmonisation: the Presidential Delivery Council and statutory MDA execution</w:t>
      </w:r>
    </w:p>
    <w:p>
      <w:pPr>
        <w:spacing w:before="60" w:after="120" w:line="276" w:lineRule="auto"/>
      </w:pPr>
      <w:r>
        <w:rPr>
          <w:rFonts w:ascii="Calibri" w:hAnsi="Calibri"/>
          <w:color w:val="1E293B"/>
          <w:sz w:val="21"/>
        </w:rPr>
        <w:t>A recurring failure mode of African infrastructure strategies is institutional turf warfare. Creating a standalone bureaucracy that bypasses existing ministries invites legal challenges, budget obstruction, and operational paralysis. Conversely, leaving an cross-ministerial emergency entirely inside a single sector ministry fails because no single ministry controls natural gas allocations, electricity generation licenses, customs tariffs, sovereign wealth co-investment, and federal PPP concessions.</w:t>
      </w:r>
    </w:p>
    <w:p>
      <w:pPr>
        <w:spacing w:before="60" w:after="120" w:line="276" w:lineRule="auto"/>
      </w:pPr>
      <w:r>
        <w:rPr>
          <w:rFonts w:ascii="Calibri" w:hAnsi="Calibri"/>
          <w:color w:val="1E293B"/>
          <w:sz w:val="21"/>
        </w:rPr>
        <w:t xml:space="preserve">To resolve this tension and unify the governance proposals across the </w:t>
      </w:r>
      <w:r>
        <w:rPr>
          <w:rFonts w:ascii="Calibri" w:hAnsi="Calibri"/>
          <w:i/>
          <w:color w:val="1E293B"/>
          <w:sz w:val="21"/>
        </w:rPr>
        <w:t>Benevolent Tokenomics</w:t>
      </w:r>
      <w:r>
        <w:rPr>
          <w:rFonts w:ascii="Calibri" w:hAnsi="Calibri"/>
          <w:color w:val="1E293B"/>
          <w:sz w:val="21"/>
        </w:rPr>
        <w:t xml:space="preserve"> policy brief and strategy framework, this plan establishes a harmonised, two-tier institutional architecture that pairs </w:t>
      </w:r>
      <w:r>
        <w:rPr>
          <w:rFonts w:ascii="Calibri" w:hAnsi="Calibri"/>
          <w:b/>
          <w:color w:val="1E293B"/>
          <w:sz w:val="21"/>
        </w:rPr>
        <w:t>cross-ministerial Presidential authority</w:t>
      </w:r>
      <w:r>
        <w:rPr>
          <w:rFonts w:ascii="Calibri" w:hAnsi="Calibri"/>
          <w:color w:val="1E293B"/>
          <w:sz w:val="21"/>
        </w:rPr>
        <w:t xml:space="preserve"> with </w:t>
      </w:r>
      <w:r>
        <w:rPr>
          <w:rFonts w:ascii="Calibri" w:hAnsi="Calibri"/>
          <w:b/>
          <w:color w:val="1E293B"/>
          <w:sz w:val="21"/>
        </w:rPr>
        <w:t>statutory agency execution</w:t>
      </w:r>
      <w:r>
        <w:rPr>
          <w:rFonts w:ascii="Calibri" w:hAnsi="Calibri"/>
          <w:color w:val="1E293B"/>
          <w:sz w:val="21"/>
        </w:rPr>
        <w:t>:</w:t>
      </w:r>
    </w:p>
    <w:p>
      <w:pPr>
        <w:keepNext/>
        <w:spacing w:before="220" w:after="80"/>
      </w:pPr>
      <w:r>
        <w:rPr>
          <w:rFonts w:ascii="Calibri" w:hAnsi="Calibri"/>
          <w:b/>
          <w:color w:val="0A3D1F"/>
          <w:sz w:val="23"/>
        </w:rPr>
        <w:t>3.1 Why Presidential and Federal Executive Council (FEC) authority is indispensable</w:t>
      </w:r>
    </w:p>
    <w:p>
      <w:pPr>
        <w:spacing w:before="60" w:after="120" w:line="276" w:lineRule="auto"/>
      </w:pPr>
      <w:r>
        <w:rPr>
          <w:rFonts w:ascii="Calibri" w:hAnsi="Calibri"/>
          <w:color w:val="1E293B"/>
          <w:sz w:val="21"/>
        </w:rPr>
        <w:t>Building gas-powered Energy-Compute Zones and enforcing onshore public procurement requires binding coordination across five distinct statutory silos that the Federal Ministry of Communications, Innovation and Digital Economy (FMCIDE) and NITDA cannot command on their own:</w:t>
      </w:r>
    </w:p>
    <w:p>
      <w:pPr>
        <w:spacing w:before="50" w:after="70"/>
        <w:ind w:left="360" w:hanging="360"/>
      </w:pPr>
      <w:r>
        <w:rPr>
          <w:rFonts w:ascii="Calibri" w:hAnsi="Calibri"/>
          <w:b/>
          <w:color w:val="0A3D1F"/>
          <w:sz w:val="20"/>
        </w:rPr>
        <w:t xml:space="preserve">1. </w:t>
      </w:r>
      <w:r>
        <w:rPr>
          <w:rFonts w:ascii="Calibri" w:hAnsi="Calibri"/>
          <w:b/>
          <w:color w:val="1E293B"/>
          <w:sz w:val="20"/>
        </w:rPr>
        <w:t>Upstream Gas Allocation &amp; Pipeline Pricing:</w:t>
      </w:r>
      <w:r>
        <w:rPr>
          <w:rFonts w:ascii="Calibri" w:hAnsi="Calibri"/>
          <w:color w:val="1E293B"/>
          <w:sz w:val="20"/>
        </w:rPr>
        <w:t xml:space="preserve"> Controlled by the Ministry of Petroleum Resources and the Nigerian Upstream Petroleum Regulatory Commission (NUPRC) under the Petroleum Industry Act.</w:t>
      </w:r>
    </w:p>
    <w:p>
      <w:pPr>
        <w:spacing w:before="50" w:after="70"/>
        <w:ind w:left="360" w:hanging="360"/>
      </w:pPr>
      <w:r>
        <w:rPr>
          <w:rFonts w:ascii="Calibri" w:hAnsi="Calibri"/>
          <w:b/>
          <w:color w:val="0A3D1F"/>
          <w:sz w:val="20"/>
        </w:rPr>
        <w:t xml:space="preserve">2. </w:t>
      </w:r>
      <w:r>
        <w:rPr>
          <w:rFonts w:ascii="Calibri" w:hAnsi="Calibri"/>
          <w:b/>
          <w:color w:val="1E293B"/>
          <w:sz w:val="20"/>
        </w:rPr>
        <w:t>Captive Power &amp; Grid Islanding Licenses:</w:t>
      </w:r>
      <w:r>
        <w:rPr>
          <w:rFonts w:ascii="Calibri" w:hAnsi="Calibri"/>
          <w:color w:val="1E293B"/>
          <w:sz w:val="20"/>
        </w:rPr>
        <w:t xml:space="preserve"> Controlled by the Ministry of Power and the Nigerian Electricity Regulatory Commission (NERC).</w:t>
      </w:r>
    </w:p>
    <w:p>
      <w:pPr>
        <w:spacing w:before="50" w:after="70"/>
        <w:ind w:left="360" w:hanging="360"/>
      </w:pPr>
      <w:r>
        <w:rPr>
          <w:rFonts w:ascii="Calibri" w:hAnsi="Calibri"/>
          <w:b/>
          <w:color w:val="0A3D1F"/>
          <w:sz w:val="20"/>
        </w:rPr>
        <w:t xml:space="preserve">3. </w:t>
      </w:r>
      <w:r>
        <w:rPr>
          <w:rFonts w:ascii="Calibri" w:hAnsi="Calibri"/>
          <w:b/>
          <w:color w:val="1E293B"/>
          <w:sz w:val="20"/>
        </w:rPr>
        <w:t>Concession Fast-Tracking &amp; Contingent Liability Approval:</w:t>
      </w:r>
      <w:r>
        <w:rPr>
          <w:rFonts w:ascii="Calibri" w:hAnsi="Calibri"/>
          <w:color w:val="1E293B"/>
          <w:sz w:val="20"/>
        </w:rPr>
        <w:t xml:space="preserve"> Controlled by the Infrastructure Concession Regulatory Commission (ICRC) under the ICRC Act of 2005 (</w:t>
      </w:r>
      <w:hyperlink r:id="rId45">
        <w:r>
          <w:rPr>
            <w:rFonts w:ascii="Calibri" w:hAnsi="Calibri"/>
            <w:color w:val="B45309"/>
            <w:u w:val="single"/>
            <w:sz w:val="20"/>
          </w:rPr>
          <w:t>ICRC</w:t>
        </w:r>
      </w:hyperlink>
      <w:r>
        <w:rPr>
          <w:rFonts w:ascii="Calibri" w:hAnsi="Calibri"/>
          <w:color w:val="1E293B"/>
          <w:sz w:val="20"/>
        </w:rPr>
        <w:t>) and the Federal Executive Council.</w:t>
      </w:r>
    </w:p>
    <w:p>
      <w:pPr>
        <w:spacing w:before="50" w:after="70"/>
        <w:ind w:left="360" w:hanging="360"/>
      </w:pPr>
      <w:r>
        <w:rPr>
          <w:rFonts w:ascii="Calibri" w:hAnsi="Calibri"/>
          <w:b/>
          <w:color w:val="0A3D1F"/>
          <w:sz w:val="20"/>
        </w:rPr>
        <w:t xml:space="preserve">4. </w:t>
      </w:r>
      <w:r>
        <w:rPr>
          <w:rFonts w:ascii="Calibri" w:hAnsi="Calibri"/>
          <w:b/>
          <w:color w:val="1E293B"/>
          <w:sz w:val="20"/>
        </w:rPr>
        <w:t>Fiscal Levies, Customs Duty Waivers &amp; Sovereign Guarantees:</w:t>
      </w:r>
      <w:r>
        <w:rPr>
          <w:rFonts w:ascii="Calibri" w:hAnsi="Calibri"/>
          <w:color w:val="1E293B"/>
          <w:sz w:val="20"/>
        </w:rPr>
        <w:t xml:space="preserve"> Controlled by the Ministry of Finance, the Federal Inland Revenue Service (FIRS / Nigeria Revenue Service under the 2025 Tax Reform Acts), the Nigeria Customs Service, and the Debt Management Office (</w:t>
      </w:r>
      <w:hyperlink r:id="rId46">
        <w:r>
          <w:rPr>
            <w:rFonts w:ascii="Calibri" w:hAnsi="Calibri"/>
            <w:color w:val="B45309"/>
            <w:u w:val="single"/>
            <w:sz w:val="20"/>
          </w:rPr>
          <w:t>KPMG</w:t>
        </w:r>
      </w:hyperlink>
      <w:r>
        <w:rPr>
          <w:rFonts w:ascii="Calibri" w:hAnsi="Calibri"/>
          <w:color w:val="1E293B"/>
          <w:sz w:val="20"/>
        </w:rPr>
        <w:t>).</w:t>
      </w:r>
    </w:p>
    <w:p>
      <w:pPr>
        <w:spacing w:before="50" w:after="70"/>
        <w:ind w:left="360" w:hanging="360"/>
      </w:pPr>
      <w:r>
        <w:rPr>
          <w:rFonts w:ascii="Calibri" w:hAnsi="Calibri"/>
          <w:b/>
          <w:color w:val="0A3D1F"/>
          <w:sz w:val="20"/>
        </w:rPr>
        <w:t xml:space="preserve">5. </w:t>
      </w:r>
      <w:r>
        <w:rPr>
          <w:rFonts w:ascii="Calibri" w:hAnsi="Calibri"/>
          <w:b/>
          <w:color w:val="1E293B"/>
          <w:sz w:val="20"/>
        </w:rPr>
        <w:t>National Security &amp; Critical Infrastructure Protection:</w:t>
      </w:r>
      <w:r>
        <w:rPr>
          <w:rFonts w:ascii="Calibri" w:hAnsi="Calibri"/>
          <w:color w:val="1E293B"/>
          <w:sz w:val="20"/>
        </w:rPr>
        <w:t xml:space="preserve"> Controlled by the Office of the National Security Adviser (ONSA) and the Ministry of Defence.</w:t>
      </w:r>
    </w:p>
    <w:p>
      <w:pPr>
        <w:keepNext/>
        <w:spacing w:before="220" w:after="80"/>
      </w:pPr>
      <w:r>
        <w:rPr>
          <w:rFonts w:ascii="Calibri" w:hAnsi="Calibri"/>
          <w:b/>
          <w:color w:val="0A3D1F"/>
          <w:sz w:val="23"/>
        </w:rPr>
        <w:t>3.2 Structure of the National AI Infrastructure Task Force (Presidential Delivery Council)</w:t>
      </w:r>
    </w:p>
    <w:p>
      <w:pPr>
        <w:spacing w:before="60" w:after="120" w:line="276" w:lineRule="auto"/>
      </w:pPr>
      <w:r>
        <w:rPr>
          <w:rFonts w:ascii="Calibri" w:hAnsi="Calibri"/>
          <w:color w:val="1E293B"/>
          <w:sz w:val="21"/>
        </w:rPr>
        <w:t xml:space="preserve">Rather than creating a permanent competing agency, the </w:t>
      </w:r>
      <w:r>
        <w:rPr>
          <w:rFonts w:ascii="Calibri" w:hAnsi="Calibri"/>
          <w:b/>
          <w:color w:val="1E293B"/>
          <w:sz w:val="21"/>
        </w:rPr>
        <w:t>National AI Infrastructure Task Force</w:t>
      </w:r>
      <w:r>
        <w:rPr>
          <w:rFonts w:ascii="Calibri" w:hAnsi="Calibri"/>
          <w:color w:val="1E293B"/>
          <w:sz w:val="21"/>
        </w:rPr>
        <w:t xml:space="preserve"> is constituted by Executive Order as a time-limited (2026–2031) </w:t>
      </w:r>
      <w:r>
        <w:rPr>
          <w:rFonts w:ascii="Calibri" w:hAnsi="Calibri"/>
          <w:b/>
          <w:color w:val="1E293B"/>
          <w:sz w:val="21"/>
        </w:rPr>
        <w:t>Presidential Delivery Council</w:t>
      </w:r>
      <w:r>
        <w:rPr>
          <w:rFonts w:ascii="Calibri" w:hAnsi="Calibri"/>
          <w:color w:val="1E293B"/>
          <w:sz w:val="21"/>
        </w:rPr>
        <w:t xml:space="preserve"> with a hard sunset clause at the end of 2031:</w:t>
      </w:r>
    </w:p>
    <w:p>
      <w:pPr>
        <w:pStyle w:val="ListBullet"/>
        <w:spacing w:before="40" w:after="60"/>
      </w:pPr>
      <w:r>
        <w:rPr>
          <w:rFonts w:ascii="Calibri" w:hAnsi="Calibri"/>
          <w:b/>
          <w:color w:val="1E293B"/>
          <w:sz w:val="20"/>
        </w:rPr>
        <w:t>Co-Chairs:</w:t>
      </w:r>
      <w:r>
        <w:rPr>
          <w:rFonts w:ascii="Calibri" w:hAnsi="Calibri"/>
          <w:color w:val="1E293B"/>
          <w:sz w:val="20"/>
        </w:rPr>
        <w:t xml:space="preserve"> Chaired on behalf of the President by the Vice President (or Chief of Staff to the President), with the </w:t>
      </w:r>
      <w:r>
        <w:rPr>
          <w:rFonts w:ascii="Calibri" w:hAnsi="Calibri"/>
          <w:b/>
          <w:color w:val="1E293B"/>
          <w:sz w:val="20"/>
        </w:rPr>
        <w:t>Minister of Communications, Innovation and Digital Economy (FMCIDE)</w:t>
      </w:r>
      <w:r>
        <w:rPr>
          <w:rFonts w:ascii="Calibri" w:hAnsi="Calibri"/>
          <w:color w:val="1E293B"/>
          <w:sz w:val="20"/>
        </w:rPr>
        <w:t xml:space="preserve"> serving as </w:t>
      </w:r>
      <w:r>
        <w:rPr>
          <w:rFonts w:ascii="Calibri" w:hAnsi="Calibri"/>
          <w:b/>
          <w:color w:val="1E293B"/>
          <w:sz w:val="20"/>
        </w:rPr>
        <w:t>Executive Co-Chair</w:t>
      </w:r>
      <w:r>
        <w:rPr>
          <w:rFonts w:ascii="Calibri" w:hAnsi="Calibri"/>
          <w:color w:val="1E293B"/>
          <w:sz w:val="20"/>
        </w:rPr>
        <w:t>. This places FMCIDE at the helm of policy direction while equipping the Minister with Presidential authority to compel inter-ministerial compliance within 30 days.</w:t>
      </w:r>
    </w:p>
    <w:p>
      <w:pPr>
        <w:pStyle w:val="ListBullet"/>
        <w:spacing w:before="40" w:after="60"/>
      </w:pPr>
      <w:r>
        <w:rPr>
          <w:rFonts w:ascii="Calibri" w:hAnsi="Calibri"/>
          <w:b/>
          <w:color w:val="1E293B"/>
          <w:sz w:val="20"/>
        </w:rPr>
        <w:t>Council Principals:</w:t>
      </w:r>
      <w:r>
        <w:rPr>
          <w:rFonts w:ascii="Calibri" w:hAnsi="Calibri"/>
          <w:color w:val="1E293B"/>
          <w:sz w:val="20"/>
        </w:rPr>
        <w:t xml:space="preserve"> The Ministers of Finance, Petroleum Resources, Power, Industry/Trade and Investment, Agriculture and Food Security, Education, and Health; the National Security Adviser (ONSA); the Director-General of ICRC; the Managing Director of NSIA; and the Director-General of NITDA.</w:t>
      </w:r>
    </w:p>
    <w:p>
      <w:pPr>
        <w:pStyle w:val="ListBullet"/>
        <w:spacing w:before="40" w:after="60"/>
      </w:pPr>
      <w:r>
        <w:rPr>
          <w:rFonts w:ascii="Calibri" w:hAnsi="Calibri"/>
          <w:b/>
          <w:color w:val="1E293B"/>
          <w:sz w:val="20"/>
        </w:rPr>
        <w:t>Observer &amp; Oversight Seats:</w:t>
      </w:r>
      <w:r>
        <w:rPr>
          <w:rFonts w:ascii="Calibri" w:hAnsi="Calibri"/>
          <w:color w:val="1E293B"/>
          <w:sz w:val="20"/>
        </w:rPr>
        <w:t xml:space="preserve"> Two private-sector data-centre/telecom representatives, one organized labour representative, two accredited civil-society transparency observers, and the Independent External Auditor—each holding a validating node on the Public Ledger.</w:t>
      </w:r>
    </w:p>
    <w:p>
      <w:pPr>
        <w:keepNext/>
        <w:spacing w:before="220" w:after="80"/>
      </w:pPr>
      <w:r>
        <w:rPr>
          <w:rFonts w:ascii="Calibri" w:hAnsi="Calibri"/>
          <w:b/>
          <w:color w:val="0A3D1F"/>
          <w:sz w:val="23"/>
        </w:rPr>
        <w:t>3.3 The Statutory Technical and Financial Execution Secretariat</w:t>
      </w:r>
    </w:p>
    <w:p>
      <w:pPr>
        <w:spacing w:before="60" w:after="120" w:line="276" w:lineRule="auto"/>
      </w:pPr>
      <w:r>
        <w:rPr>
          <w:rFonts w:ascii="Calibri" w:hAnsi="Calibri"/>
          <w:color w:val="1E293B"/>
          <w:sz w:val="21"/>
        </w:rPr>
        <w:t xml:space="preserve">The Presidential Delivery Council employs no sprawling bureaucracy of its own. Instead, day-to-day execution runs entirely through four existing statutory institutions, preserving their legal mandates under the </w:t>
      </w:r>
      <w:r>
        <w:rPr>
          <w:rFonts w:ascii="Calibri" w:hAnsi="Calibri"/>
          <w:b/>
          <w:color w:val="1E293B"/>
          <w:sz w:val="21"/>
        </w:rPr>
        <w:t>National AI Strategy (2025–2029)</w:t>
      </w:r>
      <w:r>
        <w:rPr>
          <w:rFonts w:ascii="Calibri" w:hAnsi="Calibri"/>
          <w:color w:val="1E293B"/>
          <w:sz w:val="21"/>
        </w:rPr>
        <w:t xml:space="preserve"> published on 19 September 2025 (</w:t>
      </w:r>
      <w:hyperlink r:id="rId17">
        <w:r>
          <w:rPr>
            <w:rFonts w:ascii="Calibri" w:hAnsi="Calibri"/>
            <w:color w:val="B45309"/>
            <w:u w:val="single"/>
            <w:sz w:val="21"/>
          </w:rPr>
          <w:t>OECD.AI</w:t>
        </w:r>
      </w:hyperlink>
      <w:r>
        <w:rPr>
          <w:rFonts w:ascii="Calibri" w:hAnsi="Calibri"/>
          <w:color w:val="1E293B"/>
          <w:sz w:val="21"/>
        </w:rPr>
        <w:t>):</w:t>
      </w:r>
    </w:p>
    <w:p>
      <w:pPr>
        <w:spacing w:before="50" w:after="70"/>
        <w:ind w:left="360" w:hanging="360"/>
      </w:pPr>
      <w:r>
        <w:rPr>
          <w:rFonts w:ascii="Calibri" w:hAnsi="Calibri"/>
          <w:b/>
          <w:color w:val="0A3D1F"/>
          <w:sz w:val="20"/>
        </w:rPr>
        <w:t xml:space="preserve">1. </w:t>
      </w:r>
      <w:r>
        <w:rPr>
          <w:rFonts w:ascii="Calibri" w:hAnsi="Calibri"/>
          <w:b/>
          <w:color w:val="1E293B"/>
          <w:sz w:val="20"/>
        </w:rPr>
        <w:t>NITDA (Regulatory &amp; Procurement Clearance Secretariat):</w:t>
      </w:r>
      <w:r>
        <w:rPr>
          <w:rFonts w:ascii="Calibri" w:hAnsi="Calibri"/>
          <w:color w:val="1E293B"/>
          <w:sz w:val="20"/>
        </w:rPr>
        <w:t xml:space="preserve"> Executes pooled public token and compute purchasing using its existing statutory IT project clearance mandate—which already requires federal public institutions to obtain NITDA clearance for AI-enabled systems valued at NGN 10 million or more (</w:t>
      </w:r>
      <w:hyperlink r:id="rId47">
        <w:r>
          <w:rPr>
            <w:rFonts w:ascii="Calibri" w:hAnsi="Calibri"/>
            <w:color w:val="B45309"/>
            <w:u w:val="single"/>
            <w:sz w:val="20"/>
          </w:rPr>
          <w:t>Digital Policy Alert</w:t>
        </w:r>
      </w:hyperlink>
      <w:r>
        <w:rPr>
          <w:rFonts w:ascii="Calibri" w:hAnsi="Calibri"/>
          <w:color w:val="1E293B"/>
          <w:sz w:val="20"/>
        </w:rPr>
        <w:t>). NITDA also enforces data-residency standards alongside the Nigeria Data Protection Commission (NDPC).</w:t>
      </w:r>
    </w:p>
    <w:p>
      <w:pPr>
        <w:spacing w:before="50" w:after="70"/>
        <w:ind w:left="360" w:hanging="360"/>
      </w:pPr>
      <w:r>
        <w:rPr>
          <w:rFonts w:ascii="Calibri" w:hAnsi="Calibri"/>
          <w:b/>
          <w:color w:val="0A3D1F"/>
          <w:sz w:val="20"/>
        </w:rPr>
        <w:t xml:space="preserve">2. </w:t>
      </w:r>
      <w:r>
        <w:rPr>
          <w:rFonts w:ascii="Calibri" w:hAnsi="Calibri"/>
          <w:b/>
          <w:color w:val="1E293B"/>
          <w:sz w:val="20"/>
        </w:rPr>
        <w:t>NCAIR (Technical, Tokenizer &amp; Evaluation Secretariat):</w:t>
      </w:r>
      <w:r>
        <w:rPr>
          <w:rFonts w:ascii="Calibri" w:hAnsi="Calibri"/>
          <w:color w:val="1E293B"/>
          <w:sz w:val="20"/>
        </w:rPr>
        <w:t xml:space="preserve"> Houses the </w:t>
      </w:r>
      <w:r>
        <w:rPr>
          <w:rFonts w:ascii="Calibri" w:hAnsi="Calibri"/>
          <w:b/>
          <w:color w:val="1E293B"/>
          <w:sz w:val="20"/>
        </w:rPr>
        <w:t>Global AI Observatory</w:t>
      </w:r>
      <w:r>
        <w:rPr>
          <w:rFonts w:ascii="Calibri" w:hAnsi="Calibri"/>
          <w:color w:val="1E293B"/>
          <w:sz w:val="20"/>
        </w:rPr>
        <w:t xml:space="preserve">, coordinates the Nigerian-language tokenizer and dataset engineering programme with universities and the Lagos Business School AI Collective, and staffs the technical testing arm of the </w:t>
      </w:r>
      <w:r>
        <w:rPr>
          <w:rFonts w:ascii="Calibri" w:hAnsi="Calibri"/>
          <w:b/>
          <w:color w:val="1E293B"/>
          <w:sz w:val="20"/>
        </w:rPr>
        <w:t>National AI Security and Evaluation Unit</w:t>
      </w:r>
      <w:r>
        <w:rPr>
          <w:rFonts w:ascii="Calibri" w:hAnsi="Calibri"/>
          <w:color w:val="1E293B"/>
          <w:sz w:val="20"/>
        </w:rPr>
        <w:t>.</w:t>
      </w:r>
    </w:p>
    <w:p>
      <w:pPr>
        <w:spacing w:before="50" w:after="70"/>
        <w:ind w:left="360" w:hanging="360"/>
      </w:pPr>
      <w:r>
        <w:rPr>
          <w:rFonts w:ascii="Calibri" w:hAnsi="Calibri"/>
          <w:b/>
          <w:color w:val="0A3D1F"/>
          <w:sz w:val="20"/>
        </w:rPr>
        <w:t xml:space="preserve">3. </w:t>
      </w:r>
      <w:r>
        <w:rPr>
          <w:rFonts w:ascii="Calibri" w:hAnsi="Calibri"/>
          <w:b/>
          <w:color w:val="1E293B"/>
          <w:sz w:val="20"/>
        </w:rPr>
        <w:t>NSIA &amp; The National AI Trust (Financial &amp; SPV Co-Investment Secretariat):</w:t>
      </w:r>
      <w:r>
        <w:rPr>
          <w:rFonts w:ascii="Calibri" w:hAnsi="Calibri"/>
          <w:color w:val="1E293B"/>
          <w:sz w:val="20"/>
        </w:rPr>
        <w:t xml:space="preserve"> The </w:t>
      </w:r>
      <w:r>
        <w:rPr>
          <w:rFonts w:ascii="Calibri" w:hAnsi="Calibri"/>
          <w:b/>
          <w:color w:val="1E293B"/>
          <w:sz w:val="20"/>
        </w:rPr>
        <w:t>National AI Trust</w:t>
      </w:r>
      <w:r>
        <w:rPr>
          <w:rFonts w:ascii="Calibri" w:hAnsi="Calibri"/>
          <w:color w:val="1E293B"/>
          <w:sz w:val="20"/>
        </w:rPr>
        <w:t xml:space="preserve"> (</w:t>
      </w:r>
      <w:hyperlink r:id="rId18">
        <w:r>
          <w:rPr>
            <w:rFonts w:ascii="Calibri" w:hAnsi="Calibri"/>
            <w:color w:val="B45309"/>
            <w:u w:val="single"/>
            <w:sz w:val="20"/>
          </w:rPr>
          <w:t>OECD.AI Nigeria</w:t>
        </w:r>
      </w:hyperlink>
      <w:r>
        <w:rPr>
          <w:rFonts w:ascii="Calibri" w:hAnsi="Calibri"/>
          <w:color w:val="1E293B"/>
          <w:sz w:val="20"/>
        </w:rPr>
        <w:t xml:space="preserve">) serves as the fiduciary custodian of the </w:t>
      </w:r>
      <w:r>
        <w:rPr>
          <w:rFonts w:ascii="Calibri" w:hAnsi="Calibri"/>
          <w:b/>
          <w:color w:val="1E293B"/>
          <w:sz w:val="20"/>
        </w:rPr>
        <w:t>AI Infrastructure Fund</w:t>
      </w:r>
      <w:r>
        <w:rPr>
          <w:rFonts w:ascii="Calibri" w:hAnsi="Calibri"/>
          <w:color w:val="1E293B"/>
          <w:sz w:val="20"/>
        </w:rPr>
        <w:t xml:space="preserve"> (receiving the ring-fenced tax inflows and paying out compute vouchers and Oracle prize bounties), while </w:t>
      </w:r>
      <w:r>
        <w:rPr>
          <w:rFonts w:ascii="Calibri" w:hAnsi="Calibri"/>
          <w:b/>
          <w:color w:val="1E293B"/>
          <w:sz w:val="20"/>
        </w:rPr>
        <w:t>NSIA</w:t>
      </w:r>
      <w:r>
        <w:rPr>
          <w:rFonts w:ascii="Calibri" w:hAnsi="Calibri"/>
          <w:color w:val="1E293B"/>
          <w:sz w:val="20"/>
        </w:rPr>
        <w:t xml:space="preserve"> structures the Energy-Compute Zone PPP special-purpose vehicles, manages DFI blended-finance tranches, and builds on its June 2026 Kasi hyperscale co-investment experience (</w:t>
      </w:r>
      <w:hyperlink r:id="rId13">
        <w:r>
          <w:rPr>
            <w:rFonts w:ascii="Calibri" w:hAnsi="Calibri"/>
            <w:color w:val="B45309"/>
            <w:u w:val="single"/>
            <w:sz w:val="20"/>
          </w:rPr>
          <w:t>NSIA</w:t>
        </w:r>
      </w:hyperlink>
      <w:r>
        <w:rPr>
          <w:rFonts w:ascii="Calibri" w:hAnsi="Calibri"/>
          <w:color w:val="1E293B"/>
          <w:sz w:val="20"/>
        </w:rPr>
        <w:t>).</w:t>
      </w:r>
    </w:p>
    <w:p>
      <w:pPr>
        <w:spacing w:before="50" w:after="70"/>
        <w:ind w:left="360" w:hanging="360"/>
      </w:pPr>
      <w:r>
        <w:rPr>
          <w:rFonts w:ascii="Calibri" w:hAnsi="Calibri"/>
          <w:b/>
          <w:color w:val="0A3D1F"/>
          <w:sz w:val="20"/>
        </w:rPr>
        <w:t xml:space="preserve">4. </w:t>
      </w:r>
      <w:r>
        <w:rPr>
          <w:rFonts w:ascii="Calibri" w:hAnsi="Calibri"/>
          <w:b/>
          <w:color w:val="1E293B"/>
          <w:sz w:val="20"/>
        </w:rPr>
        <w:t>ICRC (Concession &amp; Value-for-Money Secretariat):</w:t>
      </w:r>
      <w:r>
        <w:rPr>
          <w:rFonts w:ascii="Calibri" w:hAnsi="Calibri"/>
          <w:color w:val="1E293B"/>
          <w:sz w:val="20"/>
        </w:rPr>
        <w:t xml:space="preserve"> Fast-tracks Energy-Compute Zone concessions using its standardized </w:t>
      </w:r>
      <w:r>
        <w:rPr>
          <w:rFonts w:ascii="Calibri" w:hAnsi="Calibri"/>
          <w:b/>
          <w:color w:val="1E293B"/>
          <w:sz w:val="20"/>
        </w:rPr>
        <w:t>June 2026 Model PPP Agreement</w:t>
      </w:r>
      <w:r>
        <w:rPr>
          <w:rFonts w:ascii="Calibri" w:hAnsi="Calibri"/>
          <w:color w:val="1E293B"/>
          <w:sz w:val="20"/>
        </w:rPr>
        <w:t xml:space="preserve"> (</w:t>
      </w:r>
      <w:hyperlink r:id="rId48">
        <w:r>
          <w:rPr>
            <w:rFonts w:ascii="Calibri" w:hAnsi="Calibri"/>
            <w:color w:val="B45309"/>
            <w:u w:val="single"/>
            <w:sz w:val="20"/>
          </w:rPr>
          <w:t>NAN</w:t>
        </w:r>
      </w:hyperlink>
      <w:r>
        <w:rPr>
          <w:rFonts w:ascii="Calibri" w:hAnsi="Calibri"/>
          <w:color w:val="1E293B"/>
          <w:sz w:val="20"/>
        </w:rPr>
        <w:t>) and decentralised approval thresholds—which empower ministries to approve PPPs under NGN 20 billion and agencies under NGN 10 billion for Tier-2 state and campus nodes (</w:t>
      </w:r>
      <w:hyperlink r:id="rId49">
        <w:r>
          <w:rPr>
            <w:rFonts w:ascii="Calibri" w:hAnsi="Calibri"/>
            <w:color w:val="B45309"/>
            <w:u w:val="single"/>
            <w:sz w:val="20"/>
          </w:rPr>
          <w:t>VON</w:t>
        </w:r>
      </w:hyperlink>
      <w:r>
        <w:rPr>
          <w:rFonts w:ascii="Calibri" w:hAnsi="Calibri"/>
          <w:color w:val="1E293B"/>
          <w:sz w:val="20"/>
        </w:rPr>
        <w:t>).</w:t>
      </w:r>
    </w:p>
    <w:p>
      <w:pPr>
        <w:spacing w:before="60" w:after="120" w:line="276" w:lineRule="auto"/>
      </w:pPr>
      <w:r>
        <w:rPr>
          <w:rFonts w:ascii="Calibri" w:hAnsi="Calibri"/>
          <w:color w:val="1E293B"/>
          <w:sz w:val="21"/>
        </w:rPr>
        <w:t>When the Presidential Delivery Council sunsets on 31 December 2031, all ongoing regulatory, procurement, and fund-management duties remain seamlessly inside FMCIDE, NITDA, NCAIR, NSIA, and the National AI Trust without institutional disruption.</w:t>
      </w:r>
    </w:p>
    <w:p>
      <w:pPr>
        <w:keepNext/>
        <w:spacing w:before="320" w:after="120"/>
        <w:pBdr>
          <w:bottom w:val="single" w:sz="12" w:space="4" w:color="B45309"/>
        </w:pBdr>
      </w:pPr>
      <w:r>
        <w:rPr>
          <w:rFonts w:ascii="Calibri" w:hAnsi="Calibri"/>
          <w:b/>
          <w:color w:val="0A3D1F"/>
          <w:sz w:val="29"/>
        </w:rPr>
        <w:t>4. Minimum sovereign compute: sizing Nigeria's 2031 floor and strategic target</w:t>
      </w:r>
    </w:p>
    <w:p>
      <w:pPr>
        <w:spacing w:before="60" w:after="120" w:line="276" w:lineRule="auto"/>
      </w:pPr>
      <w:r>
        <w:rPr>
          <w:rFonts w:ascii="Calibri" w:hAnsi="Calibri"/>
          <w:color w:val="1E293B"/>
          <w:sz w:val="21"/>
        </w:rPr>
        <w:t xml:space="preserve">Nigeria requires a minimum sovereign floor of </w:t>
      </w:r>
      <w:r>
        <w:rPr>
          <w:rFonts w:ascii="Calibri" w:hAnsi="Calibri"/>
          <w:b/>
          <w:color w:val="1E293B"/>
          <w:sz w:val="21"/>
        </w:rPr>
        <w:t>32,000 H100-equivalent GPUs, drawing approximately 45 MW of IT and cooling power</w:t>
      </w:r>
      <w:r>
        <w:rPr>
          <w:rFonts w:ascii="Calibri" w:hAnsi="Calibri"/>
          <w:color w:val="1E293B"/>
          <w:sz w:val="21"/>
        </w:rPr>
        <w:t xml:space="preserve">, under domestic control by 2031, and should pursue a strategic target of </w:t>
      </w:r>
      <w:r>
        <w:rPr>
          <w:rFonts w:ascii="Calibri" w:hAnsi="Calibri"/>
          <w:b/>
          <w:color w:val="1E293B"/>
          <w:sz w:val="21"/>
        </w:rPr>
        <w:t>120,000 H100-equivalent GPUs (~170 MW)</w:t>
      </w:r>
      <w:r>
        <w:rPr>
          <w:rFonts w:ascii="Calibri" w:hAnsi="Calibri"/>
          <w:color w:val="1E293B"/>
          <w:sz w:val="21"/>
        </w:rPr>
        <w:t>. Below the 32,000-GPU floor, Nigeria cannot operate economy-wide trade and agricultural intelligence, digital public services, air-gapped national security workloads, and local-language R&amp;D without relying on foreign cloud capacity that can be suspended or repriced at will.</w:t>
      </w:r>
    </w:p>
    <w:p>
      <w:pPr>
        <w:spacing w:before="60" w:after="120" w:line="276" w:lineRule="auto"/>
      </w:pPr>
      <w:r>
        <w:rPr>
          <w:rFonts w:ascii="Calibri" w:hAnsi="Calibri"/>
          <w:i/>
          <w:color w:val="1E293B"/>
          <w:sz w:val="21"/>
        </w:rPr>
        <w:t>Methodological note:</w:t>
      </w:r>
      <w:r>
        <w:rPr>
          <w:rFonts w:ascii="Calibri" w:hAnsi="Calibri"/>
          <w:color w:val="1E293B"/>
          <w:sz w:val="21"/>
        </w:rPr>
        <w:t xml:space="preserve"> The sizing table below is an indicative order-of-magnitude engineering model built from explicit demographic and throughput assumptions, not a fixed forecast. Phase 1 of the roadmap commissions a granular national compute demand baseline across all federal and state MDAs.</w:t>
      </w:r>
    </w:p>
    <w:p>
      <w:pPr>
        <w:keepNext/>
        <w:spacing w:before="220" w:after="80"/>
      </w:pPr>
      <w:r>
        <w:rPr>
          <w:rFonts w:ascii="Calibri" w:hAnsi="Calibri"/>
          <w:b/>
          <w:color w:val="B45309"/>
          <w:sz w:val="23"/>
        </w:rPr>
        <w:t>Table 3: Indicative 2031 Sovereign Compute Sizing Model (H100-Equivalent Accelerators)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016"/>
        <w:gridCol w:w="2016"/>
        <w:gridCol w:w="2016"/>
        <w:gridCol w:w="2016"/>
        <w:gridCol w:w="2016"/>
      </w:tblGrid>
      <w:tr>
        <w:trPr>
          <w:tblHeader/>
          <w:cantSplit/>
        </w:trPr>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National Workload Pillar</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2031 Sizing &amp; Throughput Assumptions (Indicative)</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Minimum Floor (GPUs)</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Strategic Target (GPUs)</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Primary Hosting Tier &amp; Security Posture</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 Economy-Wide Transformation &amp; SMEs</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100 million daily active users across agriculture, trade, finance, and MSMEs; 10,000 tokens/day per user at floor, 50,000 tokens/day at target</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12,000</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58,000</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Tier 1 Energy-Compute Zones (Commercial + Voucher capacity)</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2. Social &amp; Public Services</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30 million daily active users across public schools, primary clinics, tax, customs, and civil registries; 20,000 tokens/day at floor, 60,000 at target</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7,000</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21,000</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20% Sovereign Public Reserve + Tier 2 State Nodes &amp; Tier 3 Appliances</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3. Military, Intelligence &amp; National Security</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Dedicated defence planning, satellite imagery analysis, border surveillance, and cyber defence</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3,000</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8,000</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Physically separate, air-gapped sovereign defence facilities</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4. Afrocentric R&amp;D &amp; Development Oracles</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Benchmarking, simulator execution, and fine-tuning models for Nigerian languages, crops, disease, and climate (scaled from IndiaAI benchmarks)</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5,000</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12,000</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National Research Cloud, NCAIR, and University Nodes</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5. Continuity &amp; Surge Reserve</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~20% multi-site failover headroom for subsea cable cuts, power maintenance, or epidemic/security surges</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5,400</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21,000</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Geographically distributed across at least 3 zones</w:t>
            </w:r>
          </w:p>
        </w:tc>
      </w:tr>
      <w:tr>
        <w:trPr>
          <w:cantSplit/>
        </w:trPr>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Total Sovereign &amp; National Pool</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~45 MW IT + Cooling Load (Floor) / ~170 MW (Target)</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32,400 (~32,000)</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120,000</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1 GPU per ~8,000 citizens (Floor) / 1 per ~2,200 (Target)</w:t>
            </w:r>
          </w:p>
        </w:tc>
      </w:tr>
    </w:tbl>
    <w:p>
      <w:pPr>
        <w:spacing w:before="0" w:after="120"/>
      </w:pPr>
    </w:p>
    <w:p>
      <w:pPr>
        <w:spacing w:before="60" w:after="120" w:line="276" w:lineRule="auto"/>
      </w:pPr>
      <w:r>
        <w:rPr>
          <w:rFonts w:ascii="Calibri" w:hAnsi="Calibri"/>
          <w:b/>
          <w:color w:val="1E293B"/>
          <w:sz w:val="21"/>
        </w:rPr>
        <w:t>Working engineering assumptions:</w:t>
      </w:r>
    </w:p>
    <w:p>
      <w:pPr>
        <w:pStyle w:val="ListBullet"/>
        <w:spacing w:before="40" w:after="60"/>
      </w:pPr>
      <w:r>
        <w:rPr>
          <w:rFonts w:ascii="Calibri" w:hAnsi="Calibri"/>
          <w:b/>
          <w:color w:val="1E293B"/>
          <w:sz w:val="20"/>
        </w:rPr>
        <w:t>Demographics and connectivity:</w:t>
      </w:r>
      <w:r>
        <w:rPr>
          <w:rFonts w:ascii="Calibri" w:hAnsi="Calibri"/>
          <w:color w:val="1E293B"/>
          <w:sz w:val="20"/>
        </w:rPr>
        <w:t xml:space="preserve"> Nigeria's population is projected to reach approximately 267 million by 2031 (</w:t>
      </w:r>
      <w:hyperlink r:id="rId50">
        <w:r>
          <w:rPr>
            <w:rFonts w:ascii="Calibri" w:hAnsi="Calibri"/>
            <w:color w:val="B45309"/>
            <w:u w:val="single"/>
            <w:sz w:val="20"/>
          </w:rPr>
          <w:t>Statistics Times</w:t>
        </w:r>
      </w:hyperlink>
      <w:r>
        <w:rPr>
          <w:rFonts w:ascii="Calibri" w:hAnsi="Calibri"/>
          <w:color w:val="1E293B"/>
          <w:sz w:val="20"/>
        </w:rPr>
        <w:t>), building on 157.4 million active internet subscriptions and 56.1% broadband penetration recorded in May 2026 (</w:t>
      </w:r>
      <w:hyperlink r:id="rId38">
        <w:r>
          <w:rPr>
            <w:rFonts w:ascii="Calibri" w:hAnsi="Calibri"/>
            <w:color w:val="B45309"/>
            <w:u w:val="single"/>
            <w:sz w:val="20"/>
          </w:rPr>
          <w:t>Techeconomy</w:t>
        </w:r>
      </w:hyperlink>
      <w:r>
        <w:rPr>
          <w:rFonts w:ascii="Calibri" w:hAnsi="Calibri"/>
          <w:color w:val="1E293B"/>
          <w:sz w:val="20"/>
        </w:rPr>
        <w:t>).</w:t>
      </w:r>
    </w:p>
    <w:p>
      <w:pPr>
        <w:pStyle w:val="ListBullet"/>
        <w:spacing w:before="40" w:after="60"/>
      </w:pPr>
      <w:r>
        <w:rPr>
          <w:rFonts w:ascii="Calibri" w:hAnsi="Calibri"/>
          <w:b/>
          <w:color w:val="1E293B"/>
          <w:sz w:val="20"/>
        </w:rPr>
        <w:t>Throughput and power envelope:</w:t>
      </w:r>
      <w:r>
        <w:rPr>
          <w:rFonts w:ascii="Calibri" w:hAnsi="Calibri"/>
          <w:color w:val="1E293B"/>
          <w:sz w:val="20"/>
        </w:rPr>
        <w:t xml:space="preserve"> One H100-equivalent accelerator delivers an average sustained throughput of ~1,000 tokens per second across quantised mid-size models (8B–70B parameters) with continuous batching and KV-cache optimisation, and draws approximately 1.4 kW inclusive of facility cooling (at a Power Usage Effectiveness of ~1.25–1.35). Future accelerator generations (B200/Rubin and open-standard equivalents) will deliver higher tokens per watt; all targets are therefore tracked in H100-equivalent compute units (FP8/BF16 PFLOPs).</w:t>
      </w:r>
    </w:p>
    <w:p>
      <w:pPr>
        <w:pStyle w:val="ListBullet"/>
        <w:spacing w:before="40" w:after="60"/>
      </w:pPr>
      <w:r>
        <w:rPr>
          <w:rFonts w:ascii="Calibri" w:hAnsi="Calibri"/>
          <w:b/>
          <w:color w:val="1E293B"/>
          <w:sz w:val="20"/>
        </w:rPr>
        <w:t>International benchmarking:</w:t>
      </w:r>
      <w:r>
        <w:rPr>
          <w:rFonts w:ascii="Calibri" w:hAnsi="Calibri"/>
          <w:color w:val="1E293B"/>
          <w:sz w:val="20"/>
        </w:rPr>
        <w:t xml:space="preserve"> The 32,000-GPU floor represents roughly 1 GPU per 8,000 Nigerians; the 120,000-GPU target represents 1 GPU per 2,200 Nigerians. By comparison, India's public-private IndiaAI Mission had deployed over 45,000 GPUs by June 2026 for a population roughly six times larger (</w:t>
      </w:r>
      <w:hyperlink r:id="rId51">
        <w:r>
          <w:rPr>
            <w:rFonts w:ascii="Calibri" w:hAnsi="Calibri"/>
            <w:color w:val="B45309"/>
            <w:u w:val="single"/>
            <w:sz w:val="20"/>
          </w:rPr>
          <w:t>Hakky</w:t>
        </w:r>
      </w:hyperlink>
      <w:r>
        <w:rPr>
          <w:rFonts w:ascii="Calibri" w:hAnsi="Calibri"/>
          <w:color w:val="1E293B"/>
          <w:sz w:val="20"/>
        </w:rPr>
        <w:t xml:space="preserve">; </w:t>
      </w:r>
      <w:hyperlink r:id="rId52">
        <w:r>
          <w:rPr>
            <w:rFonts w:ascii="Calibri" w:hAnsi="Calibri"/>
            <w:color w:val="B45309"/>
            <w:u w:val="single"/>
            <w:sz w:val="20"/>
          </w:rPr>
          <w:t>Communications Today</w:t>
        </w:r>
      </w:hyperlink>
      <w:r>
        <w:rPr>
          <w:rFonts w:ascii="Calibri" w:hAnsi="Calibri"/>
          <w:color w:val="1E293B"/>
          <w:sz w:val="20"/>
        </w:rPr>
        <w:t>), while the United Kingdom committed in 2025 to expand its public sovereign compute capacity at least 20-fold by 2030 (</w:t>
      </w:r>
      <w:hyperlink r:id="rId53">
        <w:r>
          <w:rPr>
            <w:rFonts w:ascii="Calibri" w:hAnsi="Calibri"/>
            <w:color w:val="B45309"/>
            <w:u w:val="single"/>
            <w:sz w:val="20"/>
          </w:rPr>
          <w:t>SCL</w:t>
        </w:r>
      </w:hyperlink>
      <w:r>
        <w:rPr>
          <w:rFonts w:ascii="Calibri" w:hAnsi="Calibri"/>
          <w:color w:val="1E293B"/>
          <w:sz w:val="20"/>
        </w:rPr>
        <w:t>).</w:t>
      </w:r>
    </w:p>
    <w:p>
      <w:pPr>
        <w:pStyle w:val="ListBullet"/>
        <w:spacing w:before="40" w:after="60"/>
      </w:pPr>
      <w:r>
        <w:rPr>
          <w:rFonts w:ascii="Calibri" w:hAnsi="Calibri"/>
          <w:b/>
          <w:color w:val="1E293B"/>
          <w:sz w:val="20"/>
        </w:rPr>
        <w:t>Physical reachability:</w:t>
      </w:r>
      <w:r>
        <w:rPr>
          <w:rFonts w:ascii="Calibri" w:hAnsi="Calibri"/>
          <w:color w:val="1E293B"/>
          <w:sz w:val="20"/>
        </w:rPr>
        <w:t xml:space="preserve"> A 45 MW floor is less than half the planned 100 MW capacity of the already-commissioned Kasi campus in Lekki (</w:t>
      </w:r>
      <w:hyperlink r:id="rId13">
        <w:r>
          <w:rPr>
            <w:rFonts w:ascii="Calibri" w:hAnsi="Calibri"/>
            <w:color w:val="B45309"/>
            <w:u w:val="single"/>
            <w:sz w:val="20"/>
          </w:rPr>
          <w:t>NSIA</w:t>
        </w:r>
      </w:hyperlink>
      <w:r>
        <w:rPr>
          <w:rFonts w:ascii="Calibri" w:hAnsi="Calibri"/>
          <w:color w:val="1E293B"/>
          <w:sz w:val="20"/>
        </w:rPr>
        <w:t>), and the 170 MW target fits comfortably within the combined footprint of the Lekki, Eko Atlantic, and Ogun pipelines.</w:t>
      </w:r>
    </w:p>
    <w:p>
      <w:pPr>
        <w:keepNext/>
        <w:spacing w:before="220" w:after="80"/>
      </w:pPr>
      <w:r>
        <w:rPr>
          <w:rFonts w:ascii="Calibri" w:hAnsi="Calibri"/>
          <w:b/>
          <w:color w:val="0A3D1F"/>
          <w:sz w:val="23"/>
        </w:rPr>
        <w:t>4.1 Co-opting, not duplicating, private builders: how Cassava's AI Factory and Nigerian peers anchor the 32,000–120,000 GPU bridge</w:t>
      </w:r>
    </w:p>
    <w:p>
      <w:pPr>
        <w:spacing w:before="60" w:after="120" w:line="276" w:lineRule="auto"/>
      </w:pPr>
      <w:r>
        <w:rPr>
          <w:rFonts w:ascii="Calibri" w:hAnsi="Calibri"/>
          <w:color w:val="1E293B"/>
          <w:sz w:val="21"/>
        </w:rPr>
        <w:t xml:space="preserve">A critical design principle of this strategy is </w:t>
      </w:r>
      <w:r>
        <w:rPr>
          <w:rFonts w:ascii="Calibri" w:hAnsi="Calibri"/>
          <w:b/>
          <w:color w:val="1E293B"/>
          <w:sz w:val="21"/>
        </w:rPr>
        <w:t>crowding in, never crowding out</w:t>
      </w:r>
      <w:r>
        <w:rPr>
          <w:rFonts w:ascii="Calibri" w:hAnsi="Calibri"/>
          <w:color w:val="1E293B"/>
          <w:sz w:val="21"/>
        </w:rPr>
        <w:t xml:space="preserve">. The Federal Government does not build greenfield state-owned data centres where private capital is already deploying. Instead, the </w:t>
      </w:r>
      <w:r>
        <w:rPr>
          <w:rFonts w:ascii="Calibri" w:hAnsi="Calibri"/>
          <w:b/>
          <w:color w:val="1E293B"/>
          <w:sz w:val="21"/>
        </w:rPr>
        <w:t>32,000-GPU Floor (45 MW)</w:t>
      </w:r>
      <w:r>
        <w:rPr>
          <w:rFonts w:ascii="Calibri" w:hAnsi="Calibri"/>
          <w:color w:val="1E293B"/>
          <w:sz w:val="21"/>
        </w:rPr>
        <w:t xml:space="preserve"> and </w:t>
      </w:r>
      <w:r>
        <w:rPr>
          <w:rFonts w:ascii="Calibri" w:hAnsi="Calibri"/>
          <w:b/>
          <w:color w:val="1E293B"/>
          <w:sz w:val="21"/>
        </w:rPr>
        <w:t>120,000-GPU Target (170 MW)</w:t>
      </w:r>
      <w:r>
        <w:rPr>
          <w:rFonts w:ascii="Calibri" w:hAnsi="Calibri"/>
          <w:color w:val="1E293B"/>
          <w:sz w:val="21"/>
        </w:rPr>
        <w:t xml:space="preserve"> integrate the private commercial pipeline directly into the national compute architecture through anchor offtake contracts, gas-to-power concessions, and PPP co-investment:</w:t>
      </w:r>
    </w:p>
    <w:p>
      <w:pPr>
        <w:pStyle w:val="ListBullet"/>
        <w:spacing w:before="40" w:after="60"/>
      </w:pPr>
      <w:r>
        <w:rPr>
          <w:rFonts w:ascii="Calibri" w:hAnsi="Calibri"/>
          <w:b/>
          <w:color w:val="1E293B"/>
          <w:sz w:val="20"/>
        </w:rPr>
        <w:t>Cassava Technologies &amp; NVIDIA Pan-African AI Factory ($720M, 12,000 GPUs) + `CAIMEx`, `Nemotron` &amp; `OpenShell` (21 Oct 2026):</w:t>
      </w:r>
      <w:r>
        <w:rPr>
          <w:rFonts w:ascii="Calibri" w:hAnsi="Calibri"/>
          <w:color w:val="1E293B"/>
          <w:sz w:val="20"/>
        </w:rPr>
        <w:t xml:space="preserve"> Cassava Technologies—operating Africa Data Centres, Liquid Intelligent Technologies, and Distributed Power Africa—is deploying 12,000 GPUs across Africa over 3–4 years (with 3,000 GPUs operating and expansion underway into Nigeria, Kenya, Egypt, and Morocco) (</w:t>
      </w:r>
      <w:hyperlink r:id="rId42">
        <w:r>
          <w:rPr>
            <w:rFonts w:ascii="Calibri" w:hAnsi="Calibri"/>
            <w:color w:val="B45309"/>
            <w:u w:val="single"/>
            <w:sz w:val="20"/>
          </w:rPr>
          <w:t>Spheron</w:t>
        </w:r>
      </w:hyperlink>
      <w:r>
        <w:rPr>
          <w:rFonts w:ascii="Calibri" w:hAnsi="Calibri"/>
          <w:color w:val="1E293B"/>
          <w:sz w:val="20"/>
        </w:rPr>
        <w:t xml:space="preserve">). On </w:t>
      </w:r>
      <w:r>
        <w:rPr>
          <w:rFonts w:ascii="Calibri" w:hAnsi="Calibri"/>
          <w:b/>
          <w:color w:val="1E293B"/>
          <w:sz w:val="20"/>
        </w:rPr>
        <w:t>21 October 2026</w:t>
      </w:r>
      <w:r>
        <w:rPr>
          <w:rFonts w:ascii="Calibri" w:hAnsi="Calibri"/>
          <w:color w:val="1E293B"/>
          <w:sz w:val="20"/>
        </w:rPr>
        <w:t xml:space="preserve">, Cassava expanded this stack by deploying </w:t>
      </w:r>
      <w:r>
        <w:rPr>
          <w:rFonts w:ascii="Calibri" w:hAnsi="Calibri"/>
          <w:b/>
          <w:color w:val="1E293B"/>
          <w:sz w:val="20"/>
        </w:rPr>
        <w:t>NVIDIA's open-weight `Nemotron` models</w:t>
      </w:r>
      <w:r>
        <w:rPr>
          <w:rFonts w:ascii="Calibri" w:hAnsi="Calibri"/>
          <w:color w:val="1E293B"/>
          <w:sz w:val="20"/>
        </w:rPr>
        <w:t xml:space="preserve"> (providing open weights, training data, and fine-tuning recipes for reasoning and tool-use agents), the </w:t>
      </w:r>
      <w:r>
        <w:rPr>
          <w:rFonts w:ascii="Calibri" w:hAnsi="Calibri"/>
          <w:b/>
          <w:color w:val="1E293B"/>
          <w:sz w:val="20"/>
        </w:rPr>
        <w:t>CAIMEx Token Optimiser</w:t>
      </w:r>
      <w:r>
        <w:rPr>
          <w:rFonts w:ascii="Calibri" w:hAnsi="Calibri"/>
          <w:color w:val="1E293B"/>
          <w:sz w:val="20"/>
        </w:rPr>
        <w:t xml:space="preserve"> (which detects and reuses already-processed tokens across local and third-party models), and </w:t>
      </w:r>
      <w:r>
        <w:rPr>
          <w:rFonts w:ascii="Calibri" w:hAnsi="Calibri"/>
          <w:b/>
          <w:color w:val="1E293B"/>
          <w:sz w:val="20"/>
        </w:rPr>
        <w:t>NVIDIA OpenShell</w:t>
      </w:r>
      <w:r>
        <w:rPr>
          <w:rFonts w:ascii="Calibri" w:hAnsi="Calibri"/>
          <w:color w:val="1E293B"/>
          <w:sz w:val="20"/>
        </w:rPr>
        <w:t xml:space="preserve"> governed agent security (</w:t>
      </w:r>
      <w:hyperlink r:id="rId24">
        <w:r>
          <w:rPr>
            <w:rFonts w:ascii="Calibri" w:hAnsi="Calibri"/>
            <w:color w:val="B45309"/>
            <w:u w:val="single"/>
            <w:sz w:val="20"/>
          </w:rPr>
          <w:t>Cassava Technologies</w:t>
        </w:r>
      </w:hyperlink>
      <w:r>
        <w:rPr>
          <w:rFonts w:ascii="Calibri" w:hAnsi="Calibri"/>
          <w:color w:val="1E293B"/>
          <w:sz w:val="20"/>
        </w:rPr>
        <w:t xml:space="preserve">; </w:t>
      </w:r>
      <w:hyperlink r:id="rId54">
        <w:r>
          <w:rPr>
            <w:rFonts w:ascii="Calibri" w:hAnsi="Calibri"/>
            <w:color w:val="B45309"/>
            <w:u w:val="single"/>
            <w:sz w:val="20"/>
          </w:rPr>
          <w:t>Techweez</w:t>
        </w:r>
      </w:hyperlink>
      <w:r>
        <w:rPr>
          <w:rFonts w:ascii="Calibri" w:hAnsi="Calibri"/>
          <w:color w:val="1E293B"/>
          <w:sz w:val="20"/>
        </w:rPr>
        <w:t xml:space="preserve">). Rather than duplicating Cassava's investment, the Presidential Delivery Council offers Cassava dedicated gas-backed power at Energy-Compute Zone tariffs ($0.04–$0.06/kWh) and a guaranteed naira availability contract for the </w:t>
      </w:r>
      <w:r>
        <w:rPr>
          <w:rFonts w:ascii="Calibri" w:hAnsi="Calibri"/>
          <w:b/>
          <w:color w:val="1E293B"/>
          <w:sz w:val="20"/>
        </w:rPr>
        <w:t>20% Sovereign Reserve</w:t>
      </w:r>
      <w:r>
        <w:rPr>
          <w:rFonts w:ascii="Calibri" w:hAnsi="Calibri"/>
          <w:color w:val="1E293B"/>
          <w:sz w:val="20"/>
        </w:rPr>
        <w:t xml:space="preserve">, while adopting </w:t>
      </w:r>
      <w:r>
        <w:rPr>
          <w:rFonts w:ascii="Consolas" w:hAnsi="Consolas"/>
          <w:b/>
          <w:color w:val="0A3D1F"/>
          <w:sz w:val="19"/>
        </w:rPr>
        <w:t>CAIMEx</w:t>
      </w:r>
      <w:r>
        <w:rPr>
          <w:rFonts w:ascii="Calibri" w:hAnsi="Calibri"/>
          <w:color w:val="1E293B"/>
          <w:sz w:val="20"/>
        </w:rPr>
        <w:t xml:space="preserve"> token-deduplication and </w:t>
      </w:r>
      <w:r>
        <w:rPr>
          <w:rFonts w:ascii="Consolas" w:hAnsi="Consolas"/>
          <w:b/>
          <w:color w:val="0A3D1F"/>
          <w:sz w:val="19"/>
        </w:rPr>
        <w:t>Nemotron</w:t>
      </w:r>
      <w:r>
        <w:rPr>
          <w:rFonts w:ascii="Calibri" w:hAnsi="Calibri"/>
          <w:color w:val="1E293B"/>
          <w:sz w:val="20"/>
        </w:rPr>
        <w:t xml:space="preserve"> open-weight fine-tuning recipes directly inside the national compute exchange.</w:t>
      </w:r>
    </w:p>
    <w:p>
      <w:pPr>
        <w:pStyle w:val="ListBullet"/>
        <w:spacing w:before="40" w:after="60"/>
      </w:pPr>
      <w:r>
        <w:rPr>
          <w:rFonts w:ascii="Calibri" w:hAnsi="Calibri"/>
          <w:b/>
          <w:color w:val="1E293B"/>
          <w:sz w:val="20"/>
        </w:rPr>
        <w:t>Modular Trapped-Power Builders (`NVIDIA DSX POD` with Crusoe, Armada, Vertiv, Schneider Electric, Dell &amp; HPE):</w:t>
      </w:r>
      <w:r>
        <w:rPr>
          <w:rFonts w:ascii="Calibri" w:hAnsi="Calibri"/>
          <w:color w:val="1E293B"/>
          <w:sz w:val="20"/>
        </w:rPr>
        <w:t xml:space="preserve"> To bypass Nigeria's transmission grid bottlenecks starting in </w:t>
      </w:r>
      <w:r>
        <w:rPr>
          <w:rFonts w:ascii="Calibri" w:hAnsi="Calibri"/>
          <w:b/>
          <w:color w:val="1E293B"/>
          <w:sz w:val="20"/>
        </w:rPr>
        <w:t>2027</w:t>
      </w:r>
      <w:r>
        <w:rPr>
          <w:rFonts w:ascii="Calibri" w:hAnsi="Calibri"/>
          <w:color w:val="1E293B"/>
          <w:sz w:val="20"/>
        </w:rPr>
        <w:t xml:space="preserve">, the strategy co-opts the </w:t>
      </w:r>
      <w:r>
        <w:rPr>
          <w:rFonts w:ascii="Calibri" w:hAnsi="Calibri"/>
          <w:b/>
          <w:color w:val="1E293B"/>
          <w:sz w:val="20"/>
        </w:rPr>
        <w:t>NVIDIA DSX POD</w:t>
      </w:r>
      <w:r>
        <w:rPr>
          <w:rFonts w:ascii="Calibri" w:hAnsi="Calibri"/>
          <w:color w:val="1E293B"/>
          <w:sz w:val="20"/>
        </w:rPr>
        <w:t xml:space="preserve"> modular containerised AI factory architecture unveiled on 21 October 2026 (</w:t>
      </w:r>
      <w:hyperlink r:id="rId20">
        <w:r>
          <w:rPr>
            <w:rFonts w:ascii="Calibri" w:hAnsi="Calibri"/>
            <w:color w:val="B45309"/>
            <w:u w:val="single"/>
            <w:sz w:val="20"/>
          </w:rPr>
          <w:t>NVIDIA Newsroom</w:t>
        </w:r>
      </w:hyperlink>
      <w:r>
        <w:rPr>
          <w:rFonts w:ascii="Calibri" w:hAnsi="Calibri"/>
          <w:color w:val="1E293B"/>
          <w:sz w:val="20"/>
        </w:rPr>
        <w:t xml:space="preserve">; </w:t>
      </w:r>
      <w:hyperlink r:id="rId21">
        <w:r>
          <w:rPr>
            <w:rFonts w:ascii="Calibri" w:hAnsi="Calibri"/>
            <w:color w:val="B45309"/>
            <w:u w:val="single"/>
            <w:sz w:val="20"/>
          </w:rPr>
          <w:t>NVIDIA Developer Blog</w:t>
        </w:r>
      </w:hyperlink>
      <w:r>
        <w:rPr>
          <w:rFonts w:ascii="Calibri" w:hAnsi="Calibri"/>
          <w:color w:val="1E293B"/>
          <w:sz w:val="20"/>
        </w:rPr>
        <w:t xml:space="preserve">). Pre-validated liquid-cooled DSX POD containers (deployable in </w:t>
      </w:r>
      <w:r>
        <w:rPr>
          <w:rFonts w:ascii="Calibri" w:hAnsi="Calibri"/>
          <w:b/>
          <w:color w:val="1E293B"/>
          <w:sz w:val="20"/>
        </w:rPr>
        <w:t>14 days</w:t>
      </w:r>
      <w:r>
        <w:rPr>
          <w:rFonts w:ascii="Calibri" w:hAnsi="Calibri"/>
          <w:color w:val="1E293B"/>
          <w:sz w:val="20"/>
        </w:rPr>
        <w:t xml:space="preserve"> at prepared sites) allow stranded-energy specialists like </w:t>
      </w:r>
      <w:r>
        <w:rPr>
          <w:rFonts w:ascii="Calibri" w:hAnsi="Calibri"/>
          <w:b/>
          <w:color w:val="1E293B"/>
          <w:sz w:val="20"/>
        </w:rPr>
        <w:t>Crusoe</w:t>
      </w:r>
      <w:r>
        <w:rPr>
          <w:rFonts w:ascii="Calibri" w:hAnsi="Calibri"/>
          <w:color w:val="1E293B"/>
          <w:sz w:val="20"/>
        </w:rPr>
        <w:t xml:space="preserve"> and </w:t>
      </w:r>
      <w:r>
        <w:rPr>
          <w:rFonts w:ascii="Calibri" w:hAnsi="Calibri"/>
          <w:b/>
          <w:color w:val="1E293B"/>
          <w:sz w:val="20"/>
        </w:rPr>
        <w:t>Armada</w:t>
      </w:r>
      <w:r>
        <w:rPr>
          <w:rFonts w:ascii="Calibri" w:hAnsi="Calibri"/>
          <w:color w:val="1E293B"/>
          <w:sz w:val="20"/>
        </w:rPr>
        <w:t xml:space="preserve"> alongside Nigerian independent power producers (IPPs) to place 5–20 MW modular compute clusters directly at Niger Delta gas wellheads, unwheeled GenCo turbines, and hydro dams—shipping high-value tokens out over fibre instead of waiting for high-voltage transmission lines.</w:t>
      </w:r>
    </w:p>
    <w:p>
      <w:pPr>
        <w:pStyle w:val="ListBullet"/>
        <w:spacing w:before="40" w:after="60"/>
      </w:pPr>
      <w:r>
        <w:rPr>
          <w:rFonts w:ascii="Calibri" w:hAnsi="Calibri"/>
          <w:b/>
          <w:color w:val="1E293B"/>
          <w:sz w:val="20"/>
        </w:rPr>
        <w:t>Kasi Cloud &amp; NSIA (100 MW Lekki Campus):</w:t>
      </w:r>
      <w:r>
        <w:rPr>
          <w:rFonts w:ascii="Calibri" w:hAnsi="Calibri"/>
          <w:color w:val="1E293B"/>
          <w:sz w:val="20"/>
        </w:rPr>
        <w:t xml:space="preserve"> Commissioned in June 2026 with NSIA backing (</w:t>
      </w:r>
      <w:hyperlink r:id="rId13">
        <w:r>
          <w:rPr>
            <w:rFonts w:ascii="Calibri" w:hAnsi="Calibri"/>
            <w:color w:val="B45309"/>
            <w:u w:val="single"/>
            <w:sz w:val="20"/>
          </w:rPr>
          <w:t>NSIA</w:t>
        </w:r>
      </w:hyperlink>
      <w:r>
        <w:rPr>
          <w:rFonts w:ascii="Calibri" w:hAnsi="Calibri"/>
          <w:color w:val="1E293B"/>
          <w:sz w:val="20"/>
        </w:rPr>
        <w:t>), Kasi provides immediate Tier-1 hyperscale shell and power capacity in the Lekki Free Zone corridor to host sovereign and commercial GPU pods without waiting 36 months for civil works.</w:t>
      </w:r>
    </w:p>
    <w:p>
      <w:pPr>
        <w:pStyle w:val="ListBullet"/>
        <w:spacing w:before="40" w:after="60"/>
      </w:pPr>
      <w:r>
        <w:rPr>
          <w:rFonts w:ascii="Calibri" w:hAnsi="Calibri"/>
          <w:b/>
          <w:color w:val="1E293B"/>
          <w:sz w:val="20"/>
        </w:rPr>
        <w:t>Telecom Hyperscale Anchors (MTN Genova $240–$250M Ikeja Phase 2 &amp; Airtel Nxtra 38 MW Eko Atlantic):</w:t>
      </w:r>
      <w:r>
        <w:rPr>
          <w:rFonts w:ascii="Calibri" w:hAnsi="Calibri"/>
          <w:color w:val="1E293B"/>
          <w:sz w:val="20"/>
        </w:rPr>
        <w:t xml:space="preserve"> MTN and Airtel bring not only $360M+ in combined Lagos AI data-centre CapEx (</w:t>
      </w:r>
      <w:hyperlink r:id="rId12">
        <w:r>
          <w:rPr>
            <w:rFonts w:ascii="Calibri" w:hAnsi="Calibri"/>
            <w:color w:val="B45309"/>
            <w:u w:val="single"/>
            <w:sz w:val="20"/>
          </w:rPr>
          <w:t>BusinessDay</w:t>
        </w:r>
      </w:hyperlink>
      <w:r>
        <w:rPr>
          <w:rFonts w:ascii="Calibri" w:hAnsi="Calibri"/>
          <w:color w:val="1E293B"/>
          <w:sz w:val="20"/>
        </w:rPr>
        <w:t xml:space="preserve">; </w:t>
      </w:r>
      <w:hyperlink r:id="rId40">
        <w:r>
          <w:rPr>
            <w:rFonts w:ascii="Calibri" w:hAnsi="Calibri"/>
            <w:color w:val="B45309"/>
            <w:u w:val="single"/>
            <w:sz w:val="20"/>
          </w:rPr>
          <w:t>Daba Finance</w:t>
        </w:r>
      </w:hyperlink>
      <w:r>
        <w:rPr>
          <w:rFonts w:ascii="Calibri" w:hAnsi="Calibri"/>
          <w:color w:val="1E293B"/>
          <w:sz w:val="20"/>
        </w:rPr>
        <w:t>), but also the last-mile mobile network operator (MNO) billing and zero-rated WhatsApp/voice channels required to reach 100 million daily Nigerian users at Tier 4.</w:t>
      </w:r>
    </w:p>
    <w:p>
      <w:pPr>
        <w:pStyle w:val="ListBullet"/>
        <w:spacing w:before="40" w:after="60"/>
      </w:pPr>
      <w:r>
        <w:rPr>
          <w:rFonts w:ascii="Calibri" w:hAnsi="Calibri"/>
          <w:b/>
          <w:color w:val="1E293B"/>
          <w:sz w:val="20"/>
        </w:rPr>
        <w:t>Gas-Backed &amp; Carrier-Neutral Peers (Tetracore/Huawei/Inspirive 20 MW Ogun Campus, Rack Centre 12 MW LGS2, MainOne/Equinix, OADC):</w:t>
      </w:r>
      <w:r>
        <w:rPr>
          <w:rFonts w:ascii="Calibri" w:hAnsi="Calibri"/>
          <w:color w:val="1E293B"/>
          <w:sz w:val="20"/>
        </w:rPr>
        <w:t xml:space="preserve"> Tetracore's 100 MW captive gas plant in Ogun (</w:t>
      </w:r>
      <w:hyperlink r:id="rId41">
        <w:r>
          <w:rPr>
            <w:rFonts w:ascii="Calibri" w:hAnsi="Calibri"/>
            <w:color w:val="B45309"/>
            <w:u w:val="single"/>
            <w:sz w:val="20"/>
          </w:rPr>
          <w:t>News Ghana</w:t>
        </w:r>
      </w:hyperlink>
      <w:r>
        <w:rPr>
          <w:rFonts w:ascii="Calibri" w:hAnsi="Calibri"/>
          <w:color w:val="1E293B"/>
          <w:sz w:val="20"/>
        </w:rPr>
        <w:t>) demonstrates the exact gas-to-compute model this strategy scales, while Rack Centre (</w:t>
      </w:r>
      <w:hyperlink r:id="rId44">
        <w:r>
          <w:rPr>
            <w:rFonts w:ascii="Calibri" w:hAnsi="Calibri"/>
            <w:color w:val="B45309"/>
            <w:u w:val="single"/>
            <w:sz w:val="20"/>
          </w:rPr>
          <w:t>TechCabal</w:t>
        </w:r>
      </w:hyperlink>
      <w:r>
        <w:rPr>
          <w:rFonts w:ascii="Calibri" w:hAnsi="Calibri"/>
          <w:color w:val="1E293B"/>
          <w:sz w:val="20"/>
        </w:rPr>
        <w:t>), MainOne/Equinix, and Open Access Data Centres (OADC) provide the carrier-neutral interconnection fabric linking Tier-1 GPU clusters to subsea cables and IXPN exchange points.</w:t>
      </w:r>
    </w:p>
    <w:p>
      <w:pPr>
        <w:keepNext/>
        <w:spacing w:before="320" w:after="120"/>
        <w:pBdr>
          <w:bottom w:val="single" w:sz="12" w:space="4" w:color="B45309"/>
        </w:pBdr>
      </w:pPr>
      <w:r>
        <w:rPr>
          <w:rFonts w:ascii="Calibri" w:hAnsi="Calibri"/>
          <w:b/>
          <w:color w:val="0A3D1F"/>
          <w:sz w:val="29"/>
        </w:rPr>
        <w:t>5. Where to put scarce capital: the 5-year bankable capital stack and FX bridge</w:t>
      </w:r>
    </w:p>
    <w:p>
      <w:pPr>
        <w:keepNext/>
        <w:spacing w:before="220" w:after="80"/>
      </w:pPr>
      <w:r>
        <w:rPr>
          <w:rFonts w:ascii="Calibri" w:hAnsi="Calibri"/>
          <w:b/>
          <w:color w:val="0A3D1F"/>
          <w:sz w:val="23"/>
        </w:rPr>
        <w:t>5.1 Capital options matrix: why energy-compute zones beat a leading-edge wafer fab</w:t>
      </w:r>
    </w:p>
    <w:p>
      <w:pPr>
        <w:spacing w:before="60" w:after="120" w:line="276" w:lineRule="auto"/>
      </w:pPr>
      <w:r>
        <w:rPr>
          <w:rFonts w:ascii="Calibri" w:hAnsi="Calibri"/>
          <w:color w:val="1E293B"/>
          <w:sz w:val="21"/>
        </w:rPr>
        <w:t xml:space="preserve">Public and DFI capital must be concentrated where it reduces domestic token costs fastest inside the 2026–2031 window. A frequent temptation in sovereign technology planning is to propose a leading-edge semiconductor wafer fabrication plant (fab). That would be a fatal capital trap. Industry estimates place the construction cost of a 2nm-class wafer fab at roughly </w:t>
      </w:r>
      <w:r>
        <w:rPr>
          <w:rFonts w:ascii="Calibri" w:hAnsi="Calibri"/>
          <w:b/>
          <w:color w:val="1E293B"/>
          <w:sz w:val="21"/>
        </w:rPr>
        <w:t>$28 billion</w:t>
      </w:r>
      <w:r>
        <w:rPr>
          <w:rFonts w:ascii="Calibri" w:hAnsi="Calibri"/>
          <w:color w:val="1E293B"/>
          <w:sz w:val="21"/>
        </w:rPr>
        <w:t xml:space="preserve"> and a 3nm-class fab at </w:t>
      </w:r>
      <w:r>
        <w:rPr>
          <w:rFonts w:ascii="Calibri" w:hAnsi="Calibri"/>
          <w:b/>
          <w:color w:val="1E293B"/>
          <w:sz w:val="21"/>
        </w:rPr>
        <w:t>$20 billion</w:t>
      </w:r>
      <w:r>
        <w:rPr>
          <w:rFonts w:ascii="Calibri" w:hAnsi="Calibri"/>
          <w:color w:val="1E293B"/>
          <w:sz w:val="21"/>
        </w:rPr>
        <w:t xml:space="preserve"> (</w:t>
      </w:r>
      <w:hyperlink r:id="rId22">
        <w:r>
          <w:rPr>
            <w:rFonts w:ascii="Calibri" w:hAnsi="Calibri"/>
            <w:color w:val="B45309"/>
            <w:u w:val="single"/>
            <w:sz w:val="21"/>
          </w:rPr>
          <w:t>Abachy, citing IBS</w:t>
        </w:r>
      </w:hyperlink>
      <w:r>
        <w:rPr>
          <w:rFonts w:ascii="Calibri" w:hAnsi="Calibri"/>
          <w:color w:val="1E293B"/>
          <w:sz w:val="21"/>
        </w:rPr>
        <w:t>), requiring five to eight years of construction, ultrapure water ecosystems, and thousands of specialised lithography engineers before producing a single chip.</w:t>
      </w:r>
    </w:p>
    <w:p>
      <w:pPr>
        <w:keepNext/>
        <w:spacing w:before="160" w:after="80"/>
        <w:jc w:val="center"/>
      </w:pPr>
      <w:r>
        <w:drawing>
          <wp:inline xmlns:a="http://schemas.openxmlformats.org/drawingml/2006/main" xmlns:pic="http://schemas.openxmlformats.org/drawingml/2006/picture">
            <wp:extent cx="6217920" cy="4155413"/>
            <wp:docPr id="1" name="Picture 1"/>
            <wp:cNvGraphicFramePr>
              <a:graphicFrameLocks noChangeAspect="1"/>
            </wp:cNvGraphicFramePr>
            <a:graphic>
              <a:graphicData uri="http://schemas.openxmlformats.org/drawingml/2006/picture">
                <pic:pic>
                  <pic:nvPicPr>
                    <pic:cNvPr id="0" name="fig1_capital_matrix.png"/>
                    <pic:cNvPicPr/>
                  </pic:nvPicPr>
                  <pic:blipFill>
                    <a:blip r:embed="rId55"/>
                    <a:stretch>
                      <a:fillRect/>
                    </a:stretch>
                  </pic:blipFill>
                  <pic:spPr>
                    <a:xfrm>
                      <a:off x="0" y="0"/>
                      <a:ext cx="6217920" cy="4155413"/>
                    </a:xfrm>
                    <a:prstGeom prst="rect"/>
                  </pic:spPr>
                </pic:pic>
              </a:graphicData>
            </a:graphic>
          </wp:inline>
        </w:drawing>
      </w:r>
    </w:p>
    <w:p>
      <w:pPr>
        <w:spacing w:before="0" w:after="200"/>
        <w:jc w:val="center"/>
      </w:pPr>
      <w:r>
        <w:rPr>
          <w:rFonts w:ascii="Calibri" w:hAnsi="Calibri"/>
          <w:b/>
          <w:i/>
          <w:color w:val="0A3D1F"/>
          <w:sz w:val="18"/>
        </w:rPr>
        <w:t>Figure 1: Capital Allocation Matrix — Speed to Capacity vs. Structural Effect on Token Cost</w:t>
      </w:r>
    </w:p>
    <w:p>
      <w:pPr>
        <w:keepNext/>
        <w:spacing w:before="220" w:after="80"/>
      </w:pPr>
      <w:r>
        <w:rPr>
          <w:rFonts w:ascii="Calibri" w:hAnsi="Calibri"/>
          <w:b/>
          <w:color w:val="B45309"/>
          <w:sz w:val="23"/>
        </w:rPr>
        <w:t>Table 4: Capital Allocation Matrix — Speed to Capacity vs. Structural Effect on Token Cost (Indicative)</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016"/>
        <w:gridCol w:w="2016"/>
        <w:gridCol w:w="2016"/>
        <w:gridCol w:w="2016"/>
        <w:gridCol w:w="2016"/>
      </w:tblGrid>
      <w:tr>
        <w:trPr>
          <w:tblHeader/>
          <w:cantSplit/>
        </w:trPr>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Strategic Investment Option</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Indicative 5-Year CapEx</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Time to Live Capacity</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Structural Token-Cost Impact</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Strategic Verdict for 2026–2031 Window</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 Dedicated Gas-to-Compute Power PPPs &amp; Trapped-Power `DSX POD`s</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$450M – $1,200M (Private/DFI IPPs &amp; Modular Pods)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14 days (site-ready DSX POD)</w:t>
            </w:r>
            <w:r>
              <w:rPr>
                <w:rFonts w:ascii="Calibri" w:hAnsi="Calibri"/>
                <w:color w:val="1E293B"/>
                <w:sz w:val="17"/>
              </w:rPr>
              <w:t xml:space="preserve"> to 18–30 mo (greenfield hall)</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Very High (9.1/10):</w:t>
            </w:r>
            <w:r>
              <w:rPr>
                <w:rFonts w:ascii="Calibri" w:hAnsi="Calibri"/>
                <w:color w:val="1E293B"/>
                <w:sz w:val="17"/>
              </w:rPr>
              <w:t xml:space="preserve"> Cuts power cost from $0.30/kWh diesel to $0.04–$0.06/kWh stranded gas/hydro; cuts build time by &gt;80%.</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Core Priority.</w:t>
            </w:r>
            <w:r>
              <w:rPr>
                <w:rFonts w:ascii="Calibri" w:hAnsi="Calibri"/>
                <w:color w:val="1E293B"/>
                <w:sz w:val="17"/>
              </w:rPr>
              <w:t xml:space="preserve"> Anchors the stack using Nigeria's 200+ Tcf gas &amp; ~8,000 MW trapped generation (</w:t>
            </w:r>
            <w:hyperlink r:id="rId20">
              <w:r>
                <w:rPr>
                  <w:rFonts w:ascii="Calibri" w:hAnsi="Calibri"/>
                  <w:color w:val="B45309"/>
                  <w:u w:val="single"/>
                  <w:sz w:val="17"/>
                </w:rPr>
                <w:t>NVIDIA Newsroom</w:t>
              </w:r>
            </w:hyperlink>
            <w:r>
              <w:rPr>
                <w:rFonts w:ascii="Calibri" w:hAnsi="Calibri"/>
                <w:color w:val="1E293B"/>
                <w:sz w:val="17"/>
              </w:rPr>
              <w:t>).</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2. Nigerian-Language Tokenizers, `Nemotron` Open Weights &amp; `CAIMEx` Optimiser</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$15M – $35M (Public/Grant R&amp;D + CAIMEx Middleware)</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3–12 months</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Very High (8.2/10):</w:t>
            </w:r>
            <w:r>
              <w:rPr>
                <w:rFonts w:ascii="Calibri" w:hAnsi="Calibri"/>
                <w:color w:val="1E293B"/>
                <w:sz w:val="17"/>
              </w:rPr>
              <w:t xml:space="preserve"> Eliminates the 1.88x–8.92x language token penalty + deduplicates repeated tokens via </w:t>
            </w:r>
            <w:r>
              <w:rPr>
                <w:rFonts w:ascii="Consolas" w:hAnsi="Consolas"/>
                <w:b/>
                <w:color w:val="0A3D1F"/>
                <w:sz w:val="16"/>
              </w:rPr>
              <w:t>CAIMEx Token Optimiser</w:t>
            </w:r>
            <w:r>
              <w:rPr>
                <w:rFonts w:ascii="Calibri" w:hAnsi="Calibri"/>
                <w:color w:val="1E293B"/>
                <w:sz w:val="17"/>
              </w:rPr>
              <w:t>.</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Immediate Priority.</w:t>
            </w:r>
            <w:r>
              <w:rPr>
                <w:rFonts w:ascii="Calibri" w:hAnsi="Calibri"/>
                <w:color w:val="1E293B"/>
                <w:sz w:val="17"/>
              </w:rPr>
              <w:t xml:space="preserve"> Highest return per dollar; open-weight </w:t>
            </w:r>
            <w:r>
              <w:rPr>
                <w:rFonts w:ascii="Consolas" w:hAnsi="Consolas"/>
                <w:b/>
                <w:color w:val="0A3D1F"/>
                <w:sz w:val="16"/>
              </w:rPr>
              <w:t>Nemotron</w:t>
            </w:r>
            <w:r>
              <w:rPr>
                <w:rFonts w:ascii="Calibri" w:hAnsi="Calibri"/>
                <w:color w:val="1E293B"/>
                <w:sz w:val="17"/>
              </w:rPr>
              <w:t xml:space="preserve"> recipes prevent vendor lock-in (</w:t>
            </w:r>
            <w:hyperlink r:id="rId24">
              <w:r>
                <w:rPr>
                  <w:rFonts w:ascii="Calibri" w:hAnsi="Calibri"/>
                  <w:color w:val="B45309"/>
                  <w:u w:val="single"/>
                  <w:sz w:val="17"/>
                </w:rPr>
                <w:t>Cassava Technologies</w:t>
              </w:r>
            </w:hyperlink>
            <w:r>
              <w:rPr>
                <w:rFonts w:ascii="Calibri" w:hAnsi="Calibri"/>
                <w:color w:val="1E293B"/>
                <w:sz w:val="17"/>
              </w:rPr>
              <w:t>).</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3. Pooled Bloc GPU &amp; Model Procurement (ECOWAS/AU)</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$325M – $550M (Public Anchor) + $800M–$3.1B (Private GPU Leases)</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6–18 months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High (6.8/10):</w:t>
            </w:r>
            <w:r>
              <w:rPr>
                <w:rFonts w:ascii="Calibri" w:hAnsi="Calibri"/>
                <w:color w:val="1E293B"/>
                <w:sz w:val="17"/>
              </w:rPr>
              <w:t xml:space="preserve"> Secures 25%–40% volume discounts, local </w:t>
            </w:r>
            <w:r>
              <w:rPr>
                <w:rFonts w:ascii="Consolas" w:hAnsi="Consolas"/>
                <w:b/>
                <w:color w:val="0A3D1F"/>
                <w:sz w:val="16"/>
              </w:rPr>
              <w:t>CAIMEx</w:t>
            </w:r>
            <w:r>
              <w:rPr>
                <w:rFonts w:ascii="Calibri" w:hAnsi="Calibri"/>
                <w:color w:val="1E293B"/>
                <w:sz w:val="17"/>
              </w:rPr>
              <w:t xml:space="preserve"> API settlement in naira, and GPU supply quotas.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Core Priority.</w:t>
            </w:r>
            <w:r>
              <w:rPr>
                <w:rFonts w:ascii="Calibri" w:hAnsi="Calibri"/>
                <w:color w:val="1E293B"/>
                <w:sz w:val="17"/>
              </w:rPr>
              <w:t xml:space="preserve"> Leverages 3.5–4 year operator lease/refresh cycles across H100/B200/Vera Rubin generations.</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4. Distributed State Nodes, Trapped-Power Pods &amp; Campus Grid</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$150M – $450M (Federal/State/Private)</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6–24 months</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Moderate-High (5.9/10):</w:t>
            </w:r>
            <w:r>
              <w:rPr>
                <w:rFonts w:ascii="Calibri" w:hAnsi="Calibri"/>
                <w:color w:val="1E293B"/>
                <w:sz w:val="17"/>
              </w:rPr>
              <w:t xml:space="preserve"> Bypasses TCN transmission bottlenecks via fibre; cuts egress fees and keeps citizen data onshore.</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Core Priority.</w:t>
            </w:r>
            <w:r>
              <w:rPr>
                <w:rFonts w:ascii="Calibri" w:hAnsi="Calibri"/>
                <w:color w:val="1E293B"/>
                <w:sz w:val="17"/>
              </w:rPr>
              <w:t xml:space="preserve"> Driven by NITDA pooled procurement, </w:t>
            </w:r>
            <w:r>
              <w:rPr>
                <w:rFonts w:ascii="Consolas" w:hAnsi="Consolas"/>
                <w:b/>
                <w:color w:val="0A3D1F"/>
                <w:sz w:val="16"/>
              </w:rPr>
              <w:t>DSX POD</w:t>
            </w:r>
            <w:r>
              <w:rPr>
                <w:rFonts w:ascii="Calibri" w:hAnsi="Calibri"/>
                <w:color w:val="1E293B"/>
                <w:sz w:val="17"/>
              </w:rPr>
              <w:t xml:space="preserve"> containers, and compute vouchers.</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5. OSAT Chip Packaging, PCB &amp; Server Assembly</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$150M – $400M (JV / EDI Tax Incentive)</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24–36 months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Moderate (6.5/10):</w:t>
            </w:r>
            <w:r>
              <w:rPr>
                <w:rFonts w:ascii="Calibri" w:hAnsi="Calibri"/>
                <w:color w:val="1E293B"/>
                <w:sz w:val="17"/>
              </w:rPr>
              <w:t xml:space="preserve"> Builds domestic hardware maintenance, rack integration, and supply chain.</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Selective Entry.</w:t>
            </w:r>
            <w:r>
              <w:rPr>
                <w:rFonts w:ascii="Calibri" w:hAnsi="Calibri"/>
                <w:color w:val="1E293B"/>
                <w:sz w:val="17"/>
              </w:rPr>
              <w:t xml:space="preserve"> Realistic semiconductor entry point; positions Nigeria for post-2031 fabs.</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6. Unpooled Offshore Cloud Spot Purchasing</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$850M/year ongoing ($4.25B over 5 yrs)</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Immediate (0–3 months)</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Low (2.6/10):</w:t>
            </w:r>
            <w:r>
              <w:rPr>
                <w:rFonts w:ascii="Calibri" w:hAnsi="Calibri"/>
                <w:color w:val="1E293B"/>
                <w:sz w:val="17"/>
              </w:rPr>
              <w:t xml:space="preserve"> Leaves FX exposure, latency, and remote shutdown risk untouched.</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Phase Out.</w:t>
            </w:r>
            <w:r>
              <w:rPr>
                <w:rFonts w:ascii="Calibri" w:hAnsi="Calibri"/>
                <w:color w:val="1E293B"/>
                <w:sz w:val="17"/>
              </w:rPr>
              <w:t xml:space="preserve"> Redirect offshore spend onshore via readiness-gated tax credits.</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7. Leading-Edge 2nm / 3nm Semiconductor Wafer Fab</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$20,000M – $28,000M</w:t>
            </w:r>
            <w:r>
              <w:rPr>
                <w:rFonts w:ascii="Calibri" w:hAnsi="Calibri"/>
                <w:color w:val="1E293B"/>
                <w:sz w:val="17"/>
              </w:rPr>
              <w:t xml:space="preserve"> (</w:t>
            </w:r>
            <w:hyperlink r:id="rId22">
              <w:r>
                <w:rPr>
                  <w:rFonts w:ascii="Calibri" w:hAnsi="Calibri"/>
                  <w:color w:val="B45309"/>
                  <w:u w:val="single"/>
                  <w:sz w:val="17"/>
                </w:rPr>
                <w:t>Abachy</w:t>
              </w:r>
            </w:hyperlink>
            <w:r>
              <w:rPr>
                <w:rFonts w:ascii="Calibri" w:hAnsi="Calibri"/>
                <w:color w:val="1E293B"/>
                <w:sz w:val="17"/>
              </w:rPr>
              <w:t>)</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60–96 months (misses window)</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Low inside window (2.1/10):</w:t>
            </w:r>
            <w:r>
              <w:rPr>
                <w:rFonts w:ascii="Calibri" w:hAnsi="Calibri"/>
                <w:color w:val="1E293B"/>
                <w:sz w:val="17"/>
              </w:rPr>
              <w:t xml:space="preserve"> Produces zero tokens before 2031; extreme execution risk.</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Rejected for 2026–2031.</w:t>
            </w:r>
            <w:r>
              <w:rPr>
                <w:rFonts w:ascii="Calibri" w:hAnsi="Calibri"/>
                <w:color w:val="1E293B"/>
                <w:sz w:val="17"/>
              </w:rPr>
              <w:t xml:space="preserve"> Defer wafer fabrication partnerships until post-2031.</w:t>
            </w:r>
          </w:p>
        </w:tc>
      </w:tr>
    </w:tbl>
    <w:p>
      <w:pPr>
        <w:spacing w:before="0" w:after="120"/>
      </w:pPr>
    </w:p>
    <w:p>
      <w:pPr>
        <w:keepNext/>
        <w:spacing w:before="220" w:after="80"/>
      </w:pPr>
      <w:r>
        <w:rPr>
          <w:rFonts w:ascii="Calibri" w:hAnsi="Calibri"/>
          <w:b/>
          <w:color w:val="0A3D1F"/>
          <w:sz w:val="23"/>
        </w:rPr>
        <w:t>5.2 The 5-year indicative capital stack ($1.80B Floor to $5.60B Target)</w:t>
      </w:r>
    </w:p>
    <w:p>
      <w:pPr>
        <w:spacing w:before="60" w:after="120" w:line="276" w:lineRule="auto"/>
      </w:pPr>
      <w:r>
        <w:rPr>
          <w:rFonts w:ascii="Calibri" w:hAnsi="Calibri"/>
          <w:color w:val="1E293B"/>
          <w:sz w:val="21"/>
        </w:rPr>
        <w:t xml:space="preserve">While land and stranded gas are abundant in Nigeria, </w:t>
      </w:r>
      <w:r>
        <w:rPr>
          <w:rFonts w:ascii="Calibri" w:hAnsi="Calibri"/>
          <w:b/>
          <w:color w:val="1E293B"/>
          <w:sz w:val="21"/>
        </w:rPr>
        <w:t>structured capital and foreign-exchange liquidity are binding constraints</w:t>
      </w:r>
      <w:r>
        <w:rPr>
          <w:rFonts w:ascii="Calibri" w:hAnsi="Calibri"/>
          <w:color w:val="1E293B"/>
          <w:sz w:val="21"/>
        </w:rPr>
        <w:t xml:space="preserve"> that must be engineered with precision. A credible DFI and Cabinet proposition cannot rely on vague assertions that capital is plentiful. Instead, this strategy separates the </w:t>
      </w:r>
      <w:r>
        <w:rPr>
          <w:rFonts w:ascii="Calibri" w:hAnsi="Calibri"/>
          <w:b/>
          <w:color w:val="1E293B"/>
          <w:sz w:val="21"/>
        </w:rPr>
        <w:t>20% Sovereign, Public-Service, and Research Reserve</w:t>
      </w:r>
      <w:r>
        <w:rPr>
          <w:rFonts w:ascii="Calibri" w:hAnsi="Calibri"/>
          <w:color w:val="1E293B"/>
          <w:sz w:val="21"/>
        </w:rPr>
        <w:t xml:space="preserve"> (which is supported by ring-fenced public funds) from the </w:t>
      </w:r>
      <w:r>
        <w:rPr>
          <w:rFonts w:ascii="Calibri" w:hAnsi="Calibri"/>
          <w:b/>
          <w:color w:val="1E293B"/>
          <w:sz w:val="21"/>
        </w:rPr>
        <w:t>80% Commercial Capacity</w:t>
      </w:r>
      <w:r>
        <w:rPr>
          <w:rFonts w:ascii="Calibri" w:hAnsi="Calibri"/>
          <w:color w:val="1E293B"/>
          <w:sz w:val="21"/>
        </w:rPr>
        <w:t xml:space="preserve"> (which is financed by private operators, telecom balance sheets, commercial banks, and DFIs).</w:t>
      </w:r>
    </w:p>
    <w:p>
      <w:pPr>
        <w:spacing w:before="60" w:after="120" w:line="276" w:lineRule="auto"/>
      </w:pPr>
      <w:r>
        <w:rPr>
          <w:rFonts w:ascii="Calibri" w:hAnsi="Calibri"/>
          <w:color w:val="1E293B"/>
          <w:sz w:val="21"/>
        </w:rPr>
        <w:t xml:space="preserve">Furthermore, the capital stack separates </w:t>
      </w:r>
      <w:r>
        <w:rPr>
          <w:rFonts w:ascii="Calibri" w:hAnsi="Calibri"/>
          <w:b/>
          <w:color w:val="1E293B"/>
          <w:sz w:val="21"/>
        </w:rPr>
        <w:t>long-lived physical infrastructure (15–20 year amortisation)</w:t>
      </w:r>
      <w:r>
        <w:rPr>
          <w:rFonts w:ascii="Calibri" w:hAnsi="Calibri"/>
          <w:color w:val="1E293B"/>
          <w:sz w:val="21"/>
        </w:rPr>
        <w:t xml:space="preserve">—captive gas power plants, substation interconnects, land, data-centre shells, liquid-cooling loops, and dark fibre—from </w:t>
      </w:r>
      <w:r>
        <w:rPr>
          <w:rFonts w:ascii="Calibri" w:hAnsi="Calibri"/>
          <w:b/>
          <w:color w:val="1E293B"/>
          <w:sz w:val="21"/>
        </w:rPr>
        <w:t>short-lived silicon (3.5–4 year GPU refresh cycles)</w:t>
      </w:r>
      <w:r>
        <w:rPr>
          <w:rFonts w:ascii="Calibri" w:hAnsi="Calibri"/>
          <w:color w:val="1E293B"/>
          <w:sz w:val="21"/>
        </w:rPr>
        <w:t>. The state and long-term infrastructure funds back the 15–20 year power and shell assets (which revert to public ownership at concession end), while private technology operators and vendor-financing syndicates carry GPU leasing and hardware obsolescence risk.</w:t>
      </w:r>
    </w:p>
    <w:p>
      <w:pPr>
        <w:keepNext/>
        <w:spacing w:before="220" w:after="80"/>
      </w:pPr>
      <w:r>
        <w:rPr>
          <w:rFonts w:ascii="Calibri" w:hAnsi="Calibri"/>
          <w:b/>
          <w:color w:val="B45309"/>
          <w:sz w:val="23"/>
        </w:rPr>
        <w:t>Table 5: Five-Year Indicative Sources and Uses of Funds (2026–2031, USD Millions)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Capital Component</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Floor Scenario: 32,000 GPUs (~45 MW)</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Target Scenario: 120,000 GPUs (~170 MW)</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Financing Mechanism, Tenor &amp; Risk Allocation</w:t>
            </w:r>
          </w:p>
        </w:tc>
      </w:tr>
      <w:tr>
        <w:trPr>
          <w:cantSplit/>
        </w:trPr>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A. USES OF FUNDS (2026–2031)</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USD Millions</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USD Millions</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Asset Class &amp; Lifecycle Structure</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1. Captive Gas Power Plants, Solar/BESS Hybrids &amp; Grid Substations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$220M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$780M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15–20 year project finance; firm gas supply via ELPS/WAGP; reverts to state at concession end.</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2. Data-Centre Shells, Closed-Loop Liquid Cooling &amp; Subsea Fibre Links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$310M</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$1,020M</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15–20 year EPC build under ICRC Model PPP; co-located at Lagos/Ogun gas-to-cable corridors.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3. GPU Accelerators, High-Speed Interconnects &amp; Storage (With 1 Mid-Window Refresh)</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$920M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$3,100M</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3.5–4 year vendor lease &amp; hardware refresh schedule</w:t>
            </w:r>
            <w:r>
              <w:rPr>
                <w:rFonts w:ascii="Calibri" w:hAnsi="Calibri"/>
                <w:color w:val="1E293B"/>
                <w:sz w:val="17"/>
              </w:rPr>
              <w:t>; operators carry silicon obsolescence risk.</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4. Tier 2 State Nodes, Tier 3 Campus Appliances &amp; OSAT Server Assembly JV</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$180M</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$420M</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Co-funded via NITDA framework contracts, state PPPs, and Economic Development Incentive (EDI) equity.</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5. Oracles R&amp;D, African-Language Tokenizers, AI Security Unit &amp; Public Ledger</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$90M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$150M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Funded via AI Infrastructure Fund grants, results-based Oracle prize bounties, and NCAIR budget.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6. FX Liquidity Buffer &amp; Availability-Payment Debt Service Reserve Account (DSRA)</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$80M</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$130M</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First-loss USD/NGN convertibility buffer held at NSIA / CBN to back naira public compute tariffs.</w:t>
            </w:r>
          </w:p>
        </w:tc>
      </w:tr>
      <w:tr>
        <w:trPr>
          <w:cantSplit/>
        </w:trPr>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TOTAL 5-YEAR USES OF FUNDS</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$1,800M ($1.80B)</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$5,600M ($5.60B)</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Covers full stack from gas wellhead to verified citizen tokens</w:t>
            </w:r>
          </w:p>
        </w:tc>
      </w:tr>
      <w:tr>
        <w:trPr>
          <w:cantSplit/>
        </w:trPr>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B. SOURCES OF FUNDS (2026–2031)</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USD Millions (% Share)</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USD Millions (% Share)</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Capital Provider &amp; Instrument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1. </w:t>
            </w:r>
            <w:r>
              <w:rPr>
                <w:rFonts w:ascii="Calibri" w:hAnsi="Calibri"/>
                <w:b/>
                <w:color w:val="1E293B"/>
                <w:sz w:val="17"/>
              </w:rPr>
              <w:t>Public AI Infrastructure Fund</w:t>
            </w:r>
            <w:r>
              <w:rPr>
                <w:rFonts w:ascii="Calibri" w:hAnsi="Calibri"/>
                <w:color w:val="1E293B"/>
                <w:sz w:val="17"/>
              </w:rPr>
              <w:t xml:space="preserve"> (Tiers 1, 2 &amp; 3 Tax Receipts: ~$65M–$110M/yr)</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$325M (18.1%)</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$550M (9.8%)</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Catalytic Public Anchor:</w:t>
            </w:r>
            <w:r>
              <w:rPr>
                <w:rFonts w:ascii="Calibri" w:hAnsi="Calibri"/>
                <w:color w:val="1E293B"/>
                <w:sz w:val="17"/>
              </w:rPr>
              <w:t xml:space="preserve"> Pays naira availability payments for </w:t>
            </w:r>
            <w:r>
              <w:rPr>
                <w:rFonts w:ascii="Calibri" w:hAnsi="Calibri"/>
                <w:b/>
                <w:color w:val="1E293B"/>
                <w:sz w:val="17"/>
              </w:rPr>
              <w:t>only the 20% Sovereign Reserve</w:t>
            </w:r>
            <w:r>
              <w:rPr>
                <w:rFonts w:ascii="Calibri" w:hAnsi="Calibri"/>
                <w:color w:val="1E293B"/>
                <w:sz w:val="17"/>
              </w:rPr>
              <w:t>, funds Oracles/tokenizers, and seeds the first-loss FX buffer.</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2. </w:t>
            </w:r>
            <w:r>
              <w:rPr>
                <w:rFonts w:ascii="Calibri" w:hAnsi="Calibri"/>
                <w:b/>
                <w:color w:val="1E293B"/>
                <w:sz w:val="17"/>
              </w:rPr>
              <w:t>NSIA &amp; Sovereign Co-Investment Equity</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$125M (6.9%)</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$300M (5.4%)</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Commercial co-investment equity in Zone SPVs (scaling the June 2026 Kasi campus model).</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3. </w:t>
            </w:r>
            <w:r>
              <w:rPr>
                <w:rFonts w:ascii="Calibri" w:hAnsi="Calibri"/>
                <w:b/>
                <w:color w:val="1E293B"/>
                <w:sz w:val="17"/>
              </w:rPr>
              <w:t>Private Data-Centre Operators, Telcos &amp; Tech Sponsors</w:t>
            </w:r>
            <w:r>
              <w:rPr>
                <w:rFonts w:ascii="Calibri" w:hAnsi="Calibri"/>
                <w:color w:val="1E293B"/>
                <w:sz w:val="17"/>
              </w:rPr>
              <w:t xml:space="preserve"> (Kasi, MTN, Airtel, Cassava, Tetracore)</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$550M (30.6%)</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$1,950M (34.8%)</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Sponsor equity and corporate balance-sheet commitments (approx. $1.48B already announced in 2026 pipeline).</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4. </w:t>
            </w:r>
            <w:r>
              <w:rPr>
                <w:rFonts w:ascii="Calibri" w:hAnsi="Calibri"/>
                <w:b/>
                <w:color w:val="1E293B"/>
                <w:sz w:val="17"/>
              </w:rPr>
              <w:t>DFIs, Multilateral Banks &amp; Africa AI Fund</w:t>
            </w:r>
            <w:r>
              <w:rPr>
                <w:rFonts w:ascii="Calibri" w:hAnsi="Calibri"/>
                <w:color w:val="1E293B"/>
                <w:sz w:val="17"/>
              </w:rPr>
              <w:t xml:space="preserve"> (AfDB, IFC, US DFC, BII, $60B Kigali Africa AI Fund)</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$500M (27.8%)</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$1,700M (30.4%)</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Concessional senior/mezzanine debt, MIGA/DFI political risk insurance, and partial credit/currency guarantees (</w:t>
            </w:r>
            <w:hyperlink r:id="rId56">
              <w:r>
                <w:rPr>
                  <w:rFonts w:ascii="Calibri" w:hAnsi="Calibri"/>
                  <w:color w:val="B45309"/>
                  <w:u w:val="single"/>
                  <w:sz w:val="17"/>
                </w:rPr>
                <w:t>ORF</w:t>
              </w:r>
            </w:hyperlink>
            <w:r>
              <w:rPr>
                <w:rFonts w:ascii="Calibri" w:hAnsi="Calibri"/>
                <w:color w:val="1E293B"/>
                <w:sz w:val="17"/>
              </w:rPr>
              <w: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5. </w:t>
            </w:r>
            <w:r>
              <w:rPr>
                <w:rFonts w:ascii="Calibri" w:hAnsi="Calibri"/>
                <w:b/>
                <w:color w:val="1E293B"/>
                <w:sz w:val="17"/>
              </w:rPr>
              <w:t>Vendor Equipment Leasing &amp; Domestic Commercial Banks / Pension Infrastructure Funds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$300M (16.7%)</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$1,100M (19.6%)</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3.5–4 year GPU vendor leasing facilities + naira project debt from Nigerian banks/PenCom for local civil works and gas pipelines.</w:t>
            </w:r>
          </w:p>
        </w:tc>
      </w:tr>
      <w:tr>
        <w:trPr>
          <w:cantSplit/>
        </w:trPr>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TOTAL 5-YEAR SOURCES OF FUNDS</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$1,800M (100%)</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$5,600M (100%)</w:t>
            </w:r>
          </w:p>
        </w:tc>
        <w:tc>
          <w:tcPr>
            <w:tcW w:type="dxa" w:w="2520"/>
            <w:vAlign w:val="top"/>
            <w:shd w:fill="FEF3C7"/>
            <w:tcMar>
              <w:top w:w="85" w:type="dxa"/>
              <w:bottom w:w="85" w:type="dxa"/>
              <w:left w:w="105" w:type="dxa"/>
              <w:right w:w="105" w:type="dxa"/>
            </w:tcMar>
          </w:tcPr>
          <w:p>
            <w:pPr>
              <w:spacing w:before="20" w:after="20"/>
            </w:pPr>
            <w:r>
              <w:rPr>
                <w:rFonts w:ascii="Calibri" w:hAnsi="Calibri"/>
                <w:b/>
                <w:color w:val="1E293B"/>
                <w:sz w:val="17"/>
              </w:rPr>
              <w:t>Public tax receipts represent &lt;19% (Floor) and &lt;10% (Target) of total capital</w:t>
            </w:r>
          </w:p>
        </w:tc>
      </w:tr>
    </w:tbl>
    <w:p>
      <w:pPr>
        <w:spacing w:before="0" w:after="120"/>
      </w:pPr>
    </w:p>
    <w:p>
      <w:pPr>
        <w:spacing w:before="60" w:after="120" w:line="276" w:lineRule="auto"/>
      </w:pPr>
      <w:r>
        <w:rPr>
          <w:rFonts w:ascii="Calibri" w:hAnsi="Calibri"/>
          <w:b/>
          <w:color w:val="1E293B"/>
          <w:sz w:val="21"/>
        </w:rPr>
        <w:t>How the FX bridge works:</w:t>
      </w:r>
      <w:r>
        <w:rPr>
          <w:rFonts w:ascii="Calibri" w:hAnsi="Calibri"/>
          <w:color w:val="1E293B"/>
          <w:sz w:val="21"/>
        </w:rPr>
        <w:t xml:space="preserve"> A major red-team concern for infrastructure investors in Nigeria is currency mismatch—operators lease GPUs in US dollars while government agencies pay in naira. Table 5 solves this structurally:</w:t>
      </w:r>
    </w:p>
    <w:p>
      <w:pPr>
        <w:spacing w:before="50" w:after="70"/>
        <w:ind w:left="360" w:hanging="360"/>
      </w:pPr>
      <w:r>
        <w:rPr>
          <w:rFonts w:ascii="Calibri" w:hAnsi="Calibri"/>
          <w:b/>
          <w:color w:val="0A3D1F"/>
          <w:sz w:val="20"/>
        </w:rPr>
        <w:t xml:space="preserve">1. </w:t>
      </w:r>
      <w:r>
        <w:rPr>
          <w:rFonts w:ascii="Calibri" w:hAnsi="Calibri"/>
          <w:color w:val="1E293B"/>
          <w:sz w:val="20"/>
        </w:rPr>
        <w:t>Roughly 40%–45% of total project CapEx (civil construction, domestic gas supply paid in naira, local grid connections, security, and local staffing) is incurred in naira and financed via domestic commercial banks and infrastructure funds.</w:t>
      </w:r>
    </w:p>
    <w:p>
      <w:pPr>
        <w:spacing w:before="50" w:after="70"/>
        <w:ind w:left="360" w:hanging="360"/>
      </w:pPr>
      <w:r>
        <w:rPr>
          <w:rFonts w:ascii="Calibri" w:hAnsi="Calibri"/>
          <w:b/>
          <w:color w:val="0A3D1F"/>
          <w:sz w:val="20"/>
        </w:rPr>
        <w:t xml:space="preserve">2. </w:t>
      </w:r>
      <w:r>
        <w:rPr>
          <w:rFonts w:ascii="Calibri" w:hAnsi="Calibri"/>
          <w:color w:val="1E293B"/>
          <w:sz w:val="20"/>
        </w:rPr>
        <w:t>Up to 80% of zone compute capacity is sold commercially to banks, telecoms, multinationals, and regional ECOWAS/AU buyers (generating a mix of naira and hard-currency regional export revenue).</w:t>
      </w:r>
    </w:p>
    <w:p>
      <w:pPr>
        <w:spacing w:before="50" w:after="70"/>
        <w:ind w:left="360" w:hanging="360"/>
      </w:pPr>
      <w:r>
        <w:rPr>
          <w:rFonts w:ascii="Calibri" w:hAnsi="Calibri"/>
          <w:b/>
          <w:color w:val="0A3D1F"/>
          <w:sz w:val="20"/>
        </w:rPr>
        <w:t xml:space="preserve">3. </w:t>
      </w:r>
      <w:r>
        <w:rPr>
          <w:rFonts w:ascii="Calibri" w:hAnsi="Calibri"/>
          <w:color w:val="1E293B"/>
          <w:sz w:val="20"/>
        </w:rPr>
        <w:t xml:space="preserve">The public </w:t>
      </w:r>
      <w:r>
        <w:rPr>
          <w:rFonts w:ascii="Calibri" w:hAnsi="Calibri"/>
          <w:b/>
          <w:color w:val="1E293B"/>
          <w:sz w:val="20"/>
        </w:rPr>
        <w:t>AI Infrastructure Fund</w:t>
      </w:r>
      <w:r>
        <w:rPr>
          <w:rFonts w:ascii="Calibri" w:hAnsi="Calibri"/>
          <w:color w:val="1E293B"/>
          <w:sz w:val="20"/>
        </w:rPr>
        <w:t xml:space="preserve"> ($65M–$110M/year) does </w:t>
      </w:r>
      <w:r>
        <w:rPr>
          <w:rFonts w:ascii="Calibri" w:hAnsi="Calibri"/>
          <w:b/>
          <w:color w:val="1E293B"/>
          <w:sz w:val="20"/>
        </w:rPr>
        <w:t>not</w:t>
      </w:r>
      <w:r>
        <w:rPr>
          <w:rFonts w:ascii="Calibri" w:hAnsi="Calibri"/>
          <w:color w:val="1E293B"/>
          <w:sz w:val="20"/>
        </w:rPr>
        <w:t xml:space="preserve"> buy 32,000 GPUs outright. Instead, it funds the </w:t>
      </w:r>
      <w:r>
        <w:rPr>
          <w:rFonts w:ascii="Calibri" w:hAnsi="Calibri"/>
          <w:b/>
          <w:color w:val="1E293B"/>
          <w:sz w:val="20"/>
        </w:rPr>
        <w:t>20% Sovereign Reserve</w:t>
      </w:r>
      <w:r>
        <w:rPr>
          <w:rFonts w:ascii="Calibri" w:hAnsi="Calibri"/>
          <w:color w:val="1E293B"/>
          <w:sz w:val="20"/>
        </w:rPr>
        <w:t xml:space="preserve"> availability payment and capitalises an </w:t>
      </w:r>
      <w:r>
        <w:rPr>
          <w:rFonts w:ascii="Calibri" w:hAnsi="Calibri"/>
          <w:b/>
          <w:color w:val="1E293B"/>
          <w:sz w:val="20"/>
        </w:rPr>
        <w:t>$80M–$130M FX Liquidity Reserve Account</w:t>
      </w:r>
      <w:r>
        <w:rPr>
          <w:rFonts w:ascii="Calibri" w:hAnsi="Calibri"/>
          <w:color w:val="1E293B"/>
          <w:sz w:val="20"/>
        </w:rPr>
        <w:t xml:space="preserve"> co-guaranteed by DFIs (IFC/AfDB/DFC) and managed by NSIA, ensuring operators can service dollar GPU leases while federal and state MDAs pay predictable, naira-denominated token tariffs.</w:t>
      </w:r>
    </w:p>
    <w:p>
      <w:pPr>
        <w:keepNext/>
        <w:spacing w:before="320" w:after="120"/>
        <w:pBdr>
          <w:bottom w:val="single" w:sz="12" w:space="4" w:color="B45309"/>
        </w:pBdr>
      </w:pPr>
      <w:r>
        <w:rPr>
          <w:rFonts w:ascii="Calibri" w:hAnsi="Calibri"/>
          <w:b/>
          <w:color w:val="0A3D1F"/>
          <w:sz w:val="29"/>
        </w:rPr>
        <w:t>6. The six-layer national compute stack and physical engineering constraints</w:t>
      </w:r>
    </w:p>
    <w:p>
      <w:pPr>
        <w:keepNext/>
        <w:spacing w:before="220" w:after="80"/>
      </w:pPr>
      <w:r>
        <w:rPr>
          <w:rFonts w:ascii="Calibri" w:hAnsi="Calibri"/>
          <w:b/>
          <w:color w:val="0A3D1F"/>
          <w:sz w:val="23"/>
        </w:rPr>
        <w:t>6.1 The six-layer national compute stack</w:t>
      </w:r>
    </w:p>
    <w:p>
      <w:pPr>
        <w:spacing w:before="60" w:after="120" w:line="276" w:lineRule="auto"/>
      </w:pPr>
      <w:r>
        <w:rPr>
          <w:rFonts w:ascii="Calibri" w:hAnsi="Calibri"/>
          <w:color w:val="1E293B"/>
          <w:sz w:val="21"/>
        </w:rPr>
        <w:t xml:space="preserve">Most national digital strategies fail because they stop at physical real estate (data-centre shells) and assume public development value will trickle down automatically. Without a deliberate </w:t>
      </w:r>
      <w:r>
        <w:rPr>
          <w:rFonts w:ascii="Calibri" w:hAnsi="Calibri"/>
          <w:b/>
          <w:color w:val="1E293B"/>
          <w:sz w:val="21"/>
        </w:rPr>
        <w:t>token allocation and evaluation layer</w:t>
      </w:r>
      <w:r>
        <w:rPr>
          <w:rFonts w:ascii="Calibri" w:hAnsi="Calibri"/>
          <w:color w:val="1E293B"/>
          <w:sz w:val="21"/>
        </w:rPr>
        <w:t>, new domestic GPU clusters simply serve whichever corporate buyer can pay the highest dollar spot price. This strategy builds an integrated six-layer stack—from the gas wellhead to machine-verified development outcomes—with a single statutory owner and a binding governance rule at every layer, all audited on the Public Ledger.</w:t>
      </w:r>
    </w:p>
    <w:p>
      <w:pPr>
        <w:keepNext/>
        <w:spacing w:before="160" w:after="80"/>
        <w:jc w:val="center"/>
      </w:pPr>
      <w:r>
        <w:drawing>
          <wp:inline xmlns:a="http://schemas.openxmlformats.org/drawingml/2006/main" xmlns:pic="http://schemas.openxmlformats.org/drawingml/2006/picture">
            <wp:extent cx="6217920" cy="3869878"/>
            <wp:docPr id="2" name="Picture 2"/>
            <wp:cNvGraphicFramePr>
              <a:graphicFrameLocks noChangeAspect="1"/>
            </wp:cNvGraphicFramePr>
            <a:graphic>
              <a:graphicData uri="http://schemas.openxmlformats.org/drawingml/2006/picture">
                <pic:pic>
                  <pic:nvPicPr>
                    <pic:cNvPr id="0" name="fig2_compute_stack.png"/>
                    <pic:cNvPicPr/>
                  </pic:nvPicPr>
                  <pic:blipFill>
                    <a:blip r:embed="rId57"/>
                    <a:stretch>
                      <a:fillRect/>
                    </a:stretch>
                  </pic:blipFill>
                  <pic:spPr>
                    <a:xfrm>
                      <a:off x="0" y="0"/>
                      <a:ext cx="6217920" cy="3869878"/>
                    </a:xfrm>
                    <a:prstGeom prst="rect"/>
                  </pic:spPr>
                </pic:pic>
              </a:graphicData>
            </a:graphic>
          </wp:inline>
        </w:drawing>
      </w:r>
    </w:p>
    <w:p>
      <w:pPr>
        <w:spacing w:before="0" w:after="200"/>
        <w:jc w:val="center"/>
      </w:pPr>
      <w:r>
        <w:rPr>
          <w:rFonts w:ascii="Calibri" w:hAnsi="Calibri"/>
          <w:b/>
          <w:i/>
          <w:color w:val="0A3D1F"/>
          <w:sz w:val="18"/>
        </w:rPr>
        <w:t>Figure 2: The 6-Layer National Compute Stack, Institutional Owners &amp; Public Ledger Spine</w:t>
      </w:r>
    </w:p>
    <w:p>
      <w:pPr>
        <w:keepNext/>
        <w:spacing w:before="220" w:after="80"/>
      </w:pPr>
      <w:r>
        <w:rPr>
          <w:rFonts w:ascii="Calibri" w:hAnsi="Calibri"/>
          <w:b/>
          <w:color w:val="B45309"/>
          <w:sz w:val="23"/>
        </w:rPr>
        <w:t>Table 6: The Six-Layer Sovereign Compute Stack — Scope, Ownership, and Governance Rules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Stack Layer</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Technical &amp; Operational Scope</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Statutory Institutional Owner &amp; Private Peers</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Revenue, Allocation &amp; Ledger Governance Rule</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Layer 6: Measured Development Outcomes &amp; Oracles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Two-stage Return-on-Tokens scoring (Quarterly Cost/Resolution + Semi-Annual Oracle Outcome Gate); 52 development benchmarks (</w:t>
            </w:r>
            <w:r>
              <w:rPr>
                <w:rFonts w:ascii="Calibri" w:hAnsi="Calibri"/>
                <w:i/>
                <w:color w:val="1E293B"/>
                <w:sz w:val="17"/>
              </w:rPr>
              <w:t>The Oracle and the Partner</w:t>
            </w:r>
            <w:r>
              <w:rPr>
                <w:rFonts w:ascii="Calibri" w:hAnsi="Calibri"/>
                <w:color w:val="1E293B"/>
                <w:sz w:val="17"/>
              </w:rPr>
              <w:t>).</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Lead Sector MDAs (FMAFS, NEPC, NPHCDA, FIRS), Independent Evaluators, Task Force Observatory.</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Projects missing targets for </w:t>
            </w:r>
            <w:r>
              <w:rPr>
                <w:rFonts w:ascii="Calibri" w:hAnsi="Calibri"/>
                <w:b/>
                <w:color w:val="1E293B"/>
                <w:sz w:val="17"/>
              </w:rPr>
              <w:t>2 consecutive quarters</w:t>
            </w:r>
            <w:r>
              <w:rPr>
                <w:rFonts w:ascii="Calibri" w:hAnsi="Calibri"/>
                <w:color w:val="1E293B"/>
                <w:sz w:val="17"/>
              </w:rPr>
              <w:t xml:space="preserve"> are automatically flagged on the Public Ledger for review or sunset; Oracle bounties pay only on verified benchmark hits.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Layer 5: Return-on-Tokens Allocation &amp; Token Optimiser Exchange</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Allocation of the </w:t>
            </w:r>
            <w:r>
              <w:rPr>
                <w:rFonts w:ascii="Calibri" w:hAnsi="Calibri"/>
                <w:b/>
                <w:color w:val="1E293B"/>
                <w:sz w:val="17"/>
              </w:rPr>
              <w:t>20% Sovereign Reserve</w:t>
            </w:r>
            <w:r>
              <w:rPr>
                <w:rFonts w:ascii="Calibri" w:hAnsi="Calibri"/>
                <w:color w:val="1E293B"/>
                <w:sz w:val="17"/>
              </w:rPr>
              <w:t xml:space="preserve"> (40% Exports/Productivity, 25% Social Services, 20% Infra, 15% R&amp;D); Naira Compute Vouchers; </w:t>
            </w:r>
            <w:r>
              <w:rPr>
                <w:rFonts w:ascii="Calibri" w:hAnsi="Calibri"/>
                <w:b/>
                <w:color w:val="1E293B"/>
                <w:sz w:val="17"/>
              </w:rPr>
              <w:t>CAIMEx Token Optimiser</w:t>
            </w:r>
            <w:r>
              <w:rPr>
                <w:rFonts w:ascii="Calibri" w:hAnsi="Calibri"/>
                <w:color w:val="1E293B"/>
                <w:sz w:val="17"/>
              </w:rPr>
              <w:t xml:space="preserve"> semantic token reuse across local/3rd-party models (</w:t>
            </w:r>
            <w:hyperlink r:id="rId24">
              <w:r>
                <w:rPr>
                  <w:rFonts w:ascii="Calibri" w:hAnsi="Calibri"/>
                  <w:color w:val="B45309"/>
                  <w:u w:val="single"/>
                  <w:sz w:val="17"/>
                </w:rPr>
                <w:t>Cassava Technologies</w:t>
              </w:r>
            </w:hyperlink>
            <w:r>
              <w:rPr>
                <w:rFonts w:ascii="Calibri" w:hAnsi="Calibri"/>
                <w:color w:val="1E293B"/>
                <w:sz w:val="17"/>
              </w:rPr>
              <w:t>).</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Presidential Delivery Council, </w:t>
            </w:r>
            <w:r>
              <w:rPr>
                <w:rFonts w:ascii="Calibri" w:hAnsi="Calibri"/>
                <w:b/>
                <w:color w:val="1E293B"/>
                <w:sz w:val="17"/>
              </w:rPr>
              <w:t>National AI Trust</w:t>
            </w:r>
            <w:r>
              <w:rPr>
                <w:rFonts w:ascii="Calibri" w:hAnsi="Calibri"/>
                <w:color w:val="1E293B"/>
                <w:sz w:val="17"/>
              </w:rPr>
              <w:t xml:space="preserve"> (fiduciary), </w:t>
            </w:r>
            <w:r>
              <w:rPr>
                <w:rFonts w:ascii="Calibri" w:hAnsi="Calibri"/>
                <w:b/>
                <w:color w:val="1E293B"/>
                <w:sz w:val="17"/>
              </w:rPr>
              <w:t>NITDA</w:t>
            </w:r>
            <w:r>
              <w:rPr>
                <w:rFonts w:ascii="Calibri" w:hAnsi="Calibri"/>
                <w:color w:val="1E293B"/>
                <w:sz w:val="17"/>
              </w:rPr>
              <w:t xml:space="preserve"> (procurement clearance), Cassava CAIMEx Exchange.</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Priced at cost in Naira; cleared through NITDA's NGN 10M+ AI procurement mandate (</w:t>
            </w:r>
            <w:hyperlink r:id="rId47">
              <w:r>
                <w:rPr>
                  <w:rFonts w:ascii="Calibri" w:hAnsi="Calibri"/>
                  <w:color w:val="B45309"/>
                  <w:u w:val="single"/>
                  <w:sz w:val="17"/>
                </w:rPr>
                <w:t>Digital Policy Alert</w:t>
              </w:r>
            </w:hyperlink>
            <w:r>
              <w:rPr>
                <w:rFonts w:ascii="Calibri" w:hAnsi="Calibri"/>
                <w:color w:val="1E293B"/>
                <w:sz w:val="17"/>
              </w:rPr>
              <w:t>); every voucher and token-optimiser saving logged on the Ledger.</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Layer 4: Open-Weight Models (`Nemotron`), Tokenizers &amp; API Gateways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Fine-tuning </w:t>
            </w:r>
            <w:r>
              <w:rPr>
                <w:rFonts w:ascii="Calibri" w:hAnsi="Calibri"/>
                <w:b/>
                <w:color w:val="1E293B"/>
                <w:sz w:val="17"/>
              </w:rPr>
              <w:t>NVIDIA `Nemotron` open-weight models</w:t>
            </w:r>
            <w:r>
              <w:rPr>
                <w:rFonts w:ascii="Calibri" w:hAnsi="Calibri"/>
                <w:color w:val="1E293B"/>
                <w:sz w:val="17"/>
              </w:rPr>
              <w:t xml:space="preserve"> (open weights, training data, and recipes for reasoning/tool-use agents (</w:t>
            </w:r>
            <w:hyperlink r:id="rId25">
              <w:r>
                <w:rPr>
                  <w:rFonts w:ascii="Calibri" w:hAnsi="Calibri"/>
                  <w:color w:val="B45309"/>
                  <w:u w:val="single"/>
                  <w:sz w:val="17"/>
                </w:rPr>
                <w:t>Tech.Africa</w:t>
              </w:r>
            </w:hyperlink>
            <w:r>
              <w:rPr>
                <w:rFonts w:ascii="Calibri" w:hAnsi="Calibri"/>
                <w:color w:val="1E293B"/>
                <w:sz w:val="17"/>
              </w:rPr>
              <w:t>)) + Llama/Qwen/DeepSeek on Yoruba, Hausa, Igbo, and Pidgin tokenizers; model-agnostic API routing.</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NCAIR</w:t>
            </w:r>
            <w:r>
              <w:rPr>
                <w:rFonts w:ascii="Calibri" w:hAnsi="Calibri"/>
                <w:color w:val="1E293B"/>
                <w:sz w:val="17"/>
              </w:rPr>
              <w:t xml:space="preserve">, </w:t>
            </w:r>
            <w:r>
              <w:rPr>
                <w:rFonts w:ascii="Calibri" w:hAnsi="Calibri"/>
                <w:b/>
                <w:color w:val="1E293B"/>
                <w:sz w:val="17"/>
              </w:rPr>
              <w:t>Cassava AI (`CAIMEx`)</w:t>
            </w:r>
            <w:r>
              <w:rPr>
                <w:rFonts w:ascii="Calibri" w:hAnsi="Calibri"/>
                <w:color w:val="1E293B"/>
                <w:sz w:val="17"/>
              </w:rPr>
              <w:t>, Nigerian Universities, LBS AI Collective, and domestic AI startups.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All public applications must use open-standard API gateways (</w:t>
            </w:r>
            <w:r>
              <w:rPr>
                <w:rFonts w:ascii="Consolas" w:hAnsi="Consolas"/>
                <w:b/>
                <w:color w:val="0A3D1F"/>
                <w:sz w:val="16"/>
              </w:rPr>
              <w:t>CAIMEx</w:t>
            </w:r>
            <w:r>
              <w:rPr>
                <w:rFonts w:ascii="Calibri" w:hAnsi="Calibri"/>
                <w:color w:val="1E293B"/>
                <w:sz w:val="17"/>
              </w:rPr>
              <w:t>-compatible) capable of hot-swapping between US, Chinese, Indian, and self-hosted open-weight models within 24 hours.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Layer 3: Security, `NVIDIA OpenShell` &amp; Ring-Fencing</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Hardware attestation lab; </w:t>
            </w:r>
            <w:r>
              <w:rPr>
                <w:rFonts w:ascii="Calibri" w:hAnsi="Calibri"/>
                <w:b/>
                <w:color w:val="1E293B"/>
                <w:sz w:val="17"/>
              </w:rPr>
              <w:t>NVIDIA `OpenShell`</w:t>
            </w:r>
            <w:r>
              <w:rPr>
                <w:rFonts w:ascii="Calibri" w:hAnsi="Calibri"/>
                <w:color w:val="1E293B"/>
                <w:sz w:val="17"/>
              </w:rPr>
              <w:t xml:space="preserve"> governed agent execution &amp; independent security enforcement (</w:t>
            </w:r>
            <w:hyperlink r:id="rId33">
              <w:r>
                <w:rPr>
                  <w:rFonts w:ascii="Calibri" w:hAnsi="Calibri"/>
                  <w:color w:val="B45309"/>
                  <w:u w:val="single"/>
                  <w:sz w:val="17"/>
                </w:rPr>
                <w:t>Cassava AI</w:t>
              </w:r>
            </w:hyperlink>
            <w:r>
              <w:rPr>
                <w:rFonts w:ascii="Calibri" w:hAnsi="Calibri"/>
                <w:color w:val="1E293B"/>
                <w:sz w:val="17"/>
              </w:rPr>
              <w:t xml:space="preserve">); air-gapped </w:t>
            </w:r>
            <w:r>
              <w:rPr>
                <w:rFonts w:ascii="Calibri" w:hAnsi="Calibri"/>
                <w:b/>
                <w:color w:val="1E293B"/>
                <w:sz w:val="17"/>
              </w:rPr>
              <w:t>DSX POD</w:t>
            </w:r>
            <w:r>
              <w:rPr>
                <w:rFonts w:ascii="Calibri" w:hAnsi="Calibri"/>
                <w:color w:val="1E293B"/>
                <w:sz w:val="17"/>
              </w:rPr>
              <w:t xml:space="preserve"> defence enclave (3k–8k GPUs); </w:t>
            </w:r>
            <w:r>
              <w:rPr>
                <w:rFonts w:ascii="Calibri" w:hAnsi="Calibri"/>
                <w:b/>
                <w:color w:val="1E293B"/>
                <w:sz w:val="17"/>
              </w:rPr>
              <w:t>entity-level legal/network separation</w:t>
            </w:r>
            <w:r>
              <w:rPr>
                <w:rFonts w:ascii="Calibri" w:hAnsi="Calibri"/>
                <w:color w:val="1E293B"/>
                <w:sz w:val="17"/>
              </w:rPr>
              <w:t xml:space="preserve"> (SPV-A vs SPV-B).</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ONSA</w:t>
            </w:r>
            <w:r>
              <w:rPr>
                <w:rFonts w:ascii="Calibri" w:hAnsi="Calibri"/>
                <w:color w:val="1E293B"/>
                <w:sz w:val="17"/>
              </w:rPr>
              <w:t xml:space="preserve">, Ministry of Defence, </w:t>
            </w:r>
            <w:r>
              <w:rPr>
                <w:rFonts w:ascii="Calibri" w:hAnsi="Calibri"/>
                <w:b/>
                <w:color w:val="1E293B"/>
                <w:sz w:val="17"/>
              </w:rPr>
              <w:t>National AI Security &amp; Evaluation Unit</w:t>
            </w:r>
            <w:r>
              <w:rPr>
                <w:rFonts w:ascii="Calibri" w:hAnsi="Calibri"/>
                <w:color w:val="1E293B"/>
                <w:sz w:val="17"/>
              </w:rPr>
              <w:t>, NITDA, NDPC.</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Zero Huawei/restricted gear inside US/DFI-backed SPVs; encryption keys held onshore under NDPA; mandatory </w:t>
            </w:r>
            <w:r>
              <w:rPr>
                <w:rFonts w:ascii="Consolas" w:hAnsi="Consolas"/>
                <w:b/>
                <w:color w:val="0A3D1F"/>
                <w:sz w:val="16"/>
              </w:rPr>
              <w:t>OpenShell</w:t>
            </w:r>
            <w:r>
              <w:rPr>
                <w:rFonts w:ascii="Calibri" w:hAnsi="Calibri"/>
                <w:color w:val="1E293B"/>
                <w:sz w:val="17"/>
              </w:rPr>
              <w:t xml:space="preserve"> policy guardrails &amp; local-language safety red-teaming.</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Layer 2: Hyperscale Zones, `DSX POD` Containers &amp; Fibre</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Tier-1 Hyperscale Zones (32k–120k GPUs), </w:t>
            </w:r>
            <w:r>
              <w:rPr>
                <w:rFonts w:ascii="Calibri" w:hAnsi="Calibri"/>
                <w:b/>
                <w:color w:val="1E293B"/>
                <w:sz w:val="17"/>
              </w:rPr>
              <w:t>14-day modular containerised `NVIDIA DSX POD`s</w:t>
            </w:r>
            <w:r>
              <w:rPr>
                <w:rFonts w:ascii="Calibri" w:hAnsi="Calibri"/>
                <w:color w:val="1E293B"/>
                <w:sz w:val="17"/>
              </w:rPr>
              <w:t xml:space="preserve"> at trapped-power sites (</w:t>
            </w:r>
            <w:hyperlink r:id="rId20">
              <w:r>
                <w:rPr>
                  <w:rFonts w:ascii="Calibri" w:hAnsi="Calibri"/>
                  <w:color w:val="B45309"/>
                  <w:u w:val="single"/>
                  <w:sz w:val="17"/>
                </w:rPr>
                <w:t>NVIDIA Newsroom</w:t>
              </w:r>
            </w:hyperlink>
            <w:r>
              <w:rPr>
                <w:rFonts w:ascii="Calibri" w:hAnsi="Calibri"/>
                <w:color w:val="1E293B"/>
                <w:sz w:val="17"/>
              </w:rPr>
              <w:t>), Tier-2 State Nodes, Tier-3 Appliances; Equiano/2Africa/MainOne/Liquid fibre.</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Private SPVs (</w:t>
            </w:r>
            <w:r>
              <w:rPr>
                <w:rFonts w:ascii="Calibri" w:hAnsi="Calibri"/>
                <w:b/>
                <w:color w:val="1E293B"/>
                <w:sz w:val="17"/>
              </w:rPr>
              <w:t>Kasi, Cassava–NVIDIA, MTN Genova, Airtel Nxtra, Rack Centre, OADC, MainOne</w:t>
            </w:r>
            <w:r>
              <w:rPr>
                <w:rFonts w:ascii="Calibri" w:hAnsi="Calibri"/>
                <w:color w:val="1E293B"/>
                <w:sz w:val="17"/>
              </w:rPr>
              <w:t>) + DSX partners (</w:t>
            </w:r>
            <w:r>
              <w:rPr>
                <w:rFonts w:ascii="Calibri" w:hAnsi="Calibri"/>
                <w:b/>
                <w:color w:val="1E293B"/>
                <w:sz w:val="17"/>
              </w:rPr>
              <w:t>Crusoe, Armada, Vertiv, Schneider, Dell, HPE</w:t>
            </w:r>
            <w:r>
              <w:rPr>
                <w:rFonts w:ascii="Calibri" w:hAnsi="Calibri"/>
                <w:color w:val="1E293B"/>
                <w:sz w:val="17"/>
              </w:rPr>
              <w:t>).</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Minimum </w:t>
            </w:r>
            <w:r>
              <w:rPr>
                <w:rFonts w:ascii="Calibri" w:hAnsi="Calibri"/>
                <w:b/>
                <w:color w:val="1E293B"/>
                <w:sz w:val="17"/>
              </w:rPr>
              <w:t>99.9% uptime SLA</w:t>
            </w:r>
            <w:r>
              <w:rPr>
                <w:rFonts w:ascii="Calibri" w:hAnsi="Calibri"/>
                <w:color w:val="1E293B"/>
                <w:sz w:val="17"/>
              </w:rPr>
              <w:t xml:space="preserve"> verified by Ledger telemetry; automated availability-payment deductions for downtime; monthly state-by-state FLOPs per 1,000 people published.</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Layer 1: Stranded Gas, Trapped IPP/Hydro Power &amp; Liquid Cooling</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Pipeline-fed captive gas (ELPS/WAGP) + </w:t>
            </w:r>
            <w:r>
              <w:rPr>
                <w:rFonts w:ascii="Calibri" w:hAnsi="Calibri"/>
                <w:b/>
                <w:color w:val="1E293B"/>
                <w:sz w:val="17"/>
              </w:rPr>
              <w:t>~8,000 MW unwheeled trapped GenCo/IPP/hydro capacity</w:t>
            </w:r>
            <w:r>
              <w:rPr>
                <w:rFonts w:ascii="Calibri" w:hAnsi="Calibri"/>
                <w:color w:val="1E293B"/>
                <w:sz w:val="17"/>
              </w:rPr>
              <w:t xml:space="preserve"> delivering </w:t>
            </w:r>
            <w:r>
              <w:rPr>
                <w:rFonts w:ascii="Calibri" w:hAnsi="Calibri"/>
                <w:b/>
                <w:color w:val="1E293B"/>
                <w:sz w:val="17"/>
              </w:rPr>
              <w:t>$0.04–$0.06/kWh</w:t>
            </w:r>
            <w:r>
              <w:rPr>
                <w:rFonts w:ascii="Calibri" w:hAnsi="Calibri"/>
                <w:color w:val="1E293B"/>
                <w:sz w:val="17"/>
              </w:rPr>
              <w:t>; factory-integrated closed-loop liquid cooling (DSX POD &amp; hyperscale halls).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Ministry of Petroleum (</w:t>
            </w:r>
            <w:r>
              <w:rPr>
                <w:rFonts w:ascii="Calibri" w:hAnsi="Calibri"/>
                <w:b/>
                <w:color w:val="1E293B"/>
                <w:sz w:val="17"/>
              </w:rPr>
              <w:t>NUPRC</w:t>
            </w:r>
            <w:r>
              <w:rPr>
                <w:rFonts w:ascii="Calibri" w:hAnsi="Calibri"/>
                <w:color w:val="1E293B"/>
                <w:sz w:val="17"/>
              </w:rPr>
              <w:t>), Ministry of Power (</w:t>
            </w:r>
            <w:r>
              <w:rPr>
                <w:rFonts w:ascii="Calibri" w:hAnsi="Calibri"/>
                <w:b/>
                <w:color w:val="1E293B"/>
                <w:sz w:val="17"/>
              </w:rPr>
              <w:t>NERC</w:t>
            </w:r>
            <w:r>
              <w:rPr>
                <w:rFonts w:ascii="Calibri" w:hAnsi="Calibri"/>
                <w:color w:val="1E293B"/>
                <w:sz w:val="17"/>
              </w:rPr>
              <w:t>), Gas IPPs (</w:t>
            </w:r>
            <w:r>
              <w:rPr>
                <w:rFonts w:ascii="Calibri" w:hAnsi="Calibri"/>
                <w:b/>
                <w:color w:val="1E293B"/>
                <w:sz w:val="17"/>
              </w:rPr>
              <w:t>Tetracore</w:t>
            </w:r>
            <w:r>
              <w:rPr>
                <w:rFonts w:ascii="Calibri" w:hAnsi="Calibri"/>
                <w:color w:val="1E293B"/>
                <w:sz w:val="17"/>
              </w:rPr>
              <w:t>, NNPC Gas, Niger Delta GenCos, Hydro IPPs).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15–20 year firm gas and trapped-power offtake agreements; long-lived power, land, and shell assets revert to the Nigerian state at concession expiry.</w:t>
            </w:r>
          </w:p>
        </w:tc>
      </w:tr>
    </w:tbl>
    <w:p>
      <w:pPr>
        <w:spacing w:before="0" w:after="120"/>
      </w:pPr>
    </w:p>
    <w:p>
      <w:pPr>
        <w:keepNext/>
        <w:spacing w:before="220" w:after="80"/>
      </w:pPr>
      <w:r>
        <w:rPr>
          <w:rFonts w:ascii="Calibri" w:hAnsi="Calibri"/>
          <w:b/>
          <w:color w:val="0A3D1F"/>
          <w:sz w:val="23"/>
        </w:rPr>
        <w:t>6.2 Physical engineering constraints: gas-to-cable siting, high-density tropical cooling, and subsea backhaul</w:t>
      </w:r>
    </w:p>
    <w:p>
      <w:pPr>
        <w:spacing w:before="60" w:after="120" w:line="276" w:lineRule="auto"/>
      </w:pPr>
      <w:r>
        <w:rPr>
          <w:rFonts w:ascii="Calibri" w:hAnsi="Calibri"/>
          <w:color w:val="1E293B"/>
          <w:sz w:val="21"/>
        </w:rPr>
        <w:t>A credible strategy paper must confront physical engineering realities. Operating 45 MW to 170 MW of high-density AI accelerators (where modern GPU racks draw 40 kW to 120 kW per rack, compared with 5–10 kW for legacy enterprise cloud) in a tropical coastal climate with 30°C–35°C ambient temperatures and high humidity imposes three non-negotiable engineering constraints:</w:t>
      </w:r>
    </w:p>
    <w:p>
      <w:pPr>
        <w:spacing w:before="50" w:after="70"/>
        <w:ind w:left="360" w:hanging="360"/>
      </w:pPr>
      <w:r>
        <w:rPr>
          <w:rFonts w:ascii="Calibri" w:hAnsi="Calibri"/>
          <w:b/>
          <w:color w:val="0A3D1F"/>
          <w:sz w:val="20"/>
        </w:rPr>
        <w:t xml:space="preserve">1. </w:t>
      </w:r>
      <w:r>
        <w:rPr>
          <w:rFonts w:ascii="Calibri" w:hAnsi="Calibri"/>
          <w:b/>
          <w:color w:val="1E293B"/>
          <w:sz w:val="20"/>
        </w:rPr>
        <w:t>Co-locating gas pipelines with submarine cable landings (Why the Lekki–Eko Atlantic–Ogun Corridor works):</w:t>
      </w:r>
    </w:p>
    <w:p>
      <w:pPr>
        <w:spacing w:before="60" w:after="120" w:line="276" w:lineRule="auto"/>
      </w:pPr>
      <w:r>
        <w:rPr>
          <w:rFonts w:ascii="Calibri" w:hAnsi="Calibri"/>
          <w:color w:val="1E293B"/>
          <w:sz w:val="21"/>
        </w:rPr>
        <w:t xml:space="preserve">Training and heavy batch inference can sit near inland gas fields, but low-latency interactive inference, regional ECOWAS traffic routing, and real-time model updates require direct proximity to submarine fibre landing stations. The </w:t>
      </w:r>
      <w:r>
        <w:rPr>
          <w:rFonts w:ascii="Calibri" w:hAnsi="Calibri"/>
          <w:b/>
          <w:color w:val="1E293B"/>
          <w:sz w:val="21"/>
        </w:rPr>
        <w:t>Lekki–Eko Atlantic–Ikeja–Ogun corridor</w:t>
      </w:r>
      <w:r>
        <w:rPr>
          <w:rFonts w:ascii="Calibri" w:hAnsi="Calibri"/>
          <w:color w:val="1E293B"/>
          <w:sz w:val="21"/>
        </w:rPr>
        <w:t xml:space="preserve"> is uniquely advantaged globally because it sits at the exact physical intersection of:</w:t>
      </w:r>
    </w:p>
    <w:p>
      <w:pPr>
        <w:pStyle w:val="ListBullet"/>
        <w:spacing w:before="40" w:after="60"/>
      </w:pPr>
      <w:r>
        <w:rPr>
          <w:rFonts w:ascii="Calibri" w:hAnsi="Calibri"/>
          <w:b/>
          <w:color w:val="1E293B"/>
          <w:sz w:val="20"/>
        </w:rPr>
        <w:t>Gas transmission backbones:</w:t>
      </w:r>
      <w:r>
        <w:rPr>
          <w:rFonts w:ascii="Calibri" w:hAnsi="Calibri"/>
          <w:color w:val="1E293B"/>
          <w:sz w:val="20"/>
        </w:rPr>
        <w:t xml:space="preserve"> The </w:t>
      </w:r>
      <w:r>
        <w:rPr>
          <w:rFonts w:ascii="Calibri" w:hAnsi="Calibri"/>
          <w:b/>
          <w:color w:val="1E293B"/>
          <w:sz w:val="20"/>
        </w:rPr>
        <w:t>Escravos–Lagos Pipeline System (ELPS)</w:t>
      </w:r>
      <w:r>
        <w:rPr>
          <w:rFonts w:ascii="Calibri" w:hAnsi="Calibri"/>
          <w:color w:val="1E293B"/>
          <w:sz w:val="20"/>
        </w:rPr>
        <w:t xml:space="preserve"> and the </w:t>
      </w:r>
      <w:r>
        <w:rPr>
          <w:rFonts w:ascii="Calibri" w:hAnsi="Calibri"/>
          <w:b/>
          <w:color w:val="1E293B"/>
          <w:sz w:val="20"/>
        </w:rPr>
        <w:t>West African Gas Pipeline (WAGP)</w:t>
      </w:r>
      <w:r>
        <w:rPr>
          <w:rFonts w:ascii="Calibri" w:hAnsi="Calibri"/>
          <w:color w:val="1E293B"/>
          <w:sz w:val="20"/>
        </w:rPr>
        <w:t>, allowing captive combined-cycle gas turbines (such as the 100 MW plant announced for the Ogun AI campus (</w:t>
      </w:r>
      <w:hyperlink r:id="rId41">
        <w:r>
          <w:rPr>
            <w:rFonts w:ascii="Calibri" w:hAnsi="Calibri"/>
            <w:color w:val="B45309"/>
            <w:u w:val="single"/>
            <w:sz w:val="20"/>
          </w:rPr>
          <w:t>News Ghana</w:t>
        </w:r>
      </w:hyperlink>
      <w:r>
        <w:rPr>
          <w:rFonts w:ascii="Calibri" w:hAnsi="Calibri"/>
          <w:color w:val="1E293B"/>
          <w:sz w:val="20"/>
        </w:rPr>
        <w:t>)) to tap piped natural gas without diesel trucking.</w:t>
      </w:r>
    </w:p>
    <w:p>
      <w:pPr>
        <w:pStyle w:val="ListBullet"/>
        <w:spacing w:before="40" w:after="60"/>
      </w:pPr>
      <w:r>
        <w:rPr>
          <w:rFonts w:ascii="Calibri" w:hAnsi="Calibri"/>
          <w:b/>
          <w:color w:val="1E293B"/>
          <w:sz w:val="20"/>
        </w:rPr>
        <w:t>Subsea cable landing stations:</w:t>
      </w:r>
      <w:r>
        <w:rPr>
          <w:rFonts w:ascii="Calibri" w:hAnsi="Calibri"/>
          <w:color w:val="1E293B"/>
          <w:sz w:val="20"/>
        </w:rPr>
        <w:t xml:space="preserve"> Lagos hosts the landing stations for </w:t>
      </w:r>
      <w:r>
        <w:rPr>
          <w:rFonts w:ascii="Calibri" w:hAnsi="Calibri"/>
          <w:b/>
          <w:color w:val="1E293B"/>
          <w:sz w:val="20"/>
        </w:rPr>
        <w:t>Google Equiano, 2Africa, MainOne (Equinix), WACS, Glo-1, and ACE</w:t>
      </w:r>
      <w:r>
        <w:rPr>
          <w:rFonts w:ascii="Calibri" w:hAnsi="Calibri"/>
          <w:color w:val="1E293B"/>
          <w:sz w:val="20"/>
        </w:rPr>
        <w:t>, providing multi-terabit redundant international connectivity and direct coastal links to ECOWAS and South African hubs.</w:t>
      </w:r>
    </w:p>
    <w:p>
      <w:pPr>
        <w:pStyle w:val="ListBullet"/>
        <w:spacing w:before="40" w:after="60"/>
      </w:pPr>
      <w:r>
        <w:rPr>
          <w:rFonts w:ascii="Calibri" w:hAnsi="Calibri"/>
          <w:b/>
          <w:color w:val="1E293B"/>
          <w:sz w:val="20"/>
        </w:rPr>
        <w:t>Secondary inland gas zones (Delta / Rivers / Edo):</w:t>
      </w:r>
      <w:r>
        <w:rPr>
          <w:rFonts w:ascii="Calibri" w:hAnsi="Calibri"/>
          <w:color w:val="1E293B"/>
          <w:sz w:val="20"/>
        </w:rPr>
        <w:t xml:space="preserve"> For latency-tolerant workloads—such as bulk synthetic data generation, offline Nigerian-language pre-training, and multi-season agricultural simulations—Phase 2 and Phase 3 designate a secondary Energy-Compute Zone in the Niger Delta (near Warri/Port Harcourt gas processing hubs), connected to Lagos via redundant terrestrial dark-fibre rings operated by Galaxy Backbone, MTN, and Liquid/Cassava.</w:t>
      </w:r>
    </w:p>
    <w:p>
      <w:pPr>
        <w:spacing w:before="50" w:after="70"/>
        <w:ind w:left="360" w:hanging="360"/>
      </w:pPr>
      <w:r>
        <w:rPr>
          <w:rFonts w:ascii="Calibri" w:hAnsi="Calibri"/>
          <w:b/>
          <w:color w:val="0A3D1F"/>
          <w:sz w:val="20"/>
        </w:rPr>
        <w:t xml:space="preserve">2. </w:t>
      </w:r>
      <w:r>
        <w:rPr>
          <w:rFonts w:ascii="Calibri" w:hAnsi="Calibri"/>
          <w:b/>
          <w:color w:val="1E293B"/>
          <w:sz w:val="20"/>
        </w:rPr>
        <w:t>Closed-loop direct-to-chip liquid cooling and zero municipal water stress:</w:t>
      </w:r>
    </w:p>
    <w:p>
      <w:pPr>
        <w:spacing w:before="60" w:after="120" w:line="276" w:lineRule="auto"/>
      </w:pPr>
      <w:r>
        <w:rPr>
          <w:rFonts w:ascii="Calibri" w:hAnsi="Calibri"/>
          <w:color w:val="1E293B"/>
          <w:sz w:val="21"/>
        </w:rPr>
        <w:t xml:space="preserve">Traditional evaporative cooling towers consume millions of litres of potable water daily and lose efficiency in high wet-bulb tropical humidity. To prevent Energy-Compute Zones from straining municipal water supplies in Lagos or Ogun and to achieve a Power Usage Effectiveness (PUE) below </w:t>
      </w:r>
      <w:r>
        <w:rPr>
          <w:rFonts w:ascii="Calibri" w:hAnsi="Calibri"/>
          <w:b/>
          <w:color w:val="1E293B"/>
          <w:sz w:val="21"/>
        </w:rPr>
        <w:t>1.28</w:t>
      </w:r>
      <w:r>
        <w:rPr>
          <w:rFonts w:ascii="Calibri" w:hAnsi="Calibri"/>
          <w:color w:val="1E293B"/>
          <w:sz w:val="21"/>
        </w:rPr>
        <w:t xml:space="preserve">, all Tier-1 AI halls funded under this strategy must mandate </w:t>
      </w:r>
      <w:r>
        <w:rPr>
          <w:rFonts w:ascii="Calibri" w:hAnsi="Calibri"/>
          <w:b/>
          <w:color w:val="1E293B"/>
          <w:sz w:val="21"/>
        </w:rPr>
        <w:t>closed-loop direct-to-chip liquid cooling (or rear-door heat exchangers) paired with adiabatic dry coolers</w:t>
      </w:r>
      <w:r>
        <w:rPr>
          <w:rFonts w:ascii="Calibri" w:hAnsi="Calibri"/>
          <w:color w:val="1E293B"/>
          <w:sz w:val="21"/>
        </w:rPr>
        <w:t>. Closed-loop systems recirculate dielectric or treated coolant continuously, reducing operational water consumption by over 85% compared with open evaporative towers.</w:t>
      </w:r>
    </w:p>
    <w:p>
      <w:pPr>
        <w:spacing w:before="50" w:after="70"/>
        <w:ind w:left="360" w:hanging="360"/>
      </w:pPr>
      <w:r>
        <w:rPr>
          <w:rFonts w:ascii="Calibri" w:hAnsi="Calibri"/>
          <w:b/>
          <w:color w:val="0A3D1F"/>
          <w:sz w:val="20"/>
        </w:rPr>
        <w:t xml:space="preserve">3. </w:t>
      </w:r>
      <w:r>
        <w:rPr>
          <w:rFonts w:ascii="Calibri" w:hAnsi="Calibri"/>
          <w:b/>
          <w:color w:val="1E293B"/>
          <w:sz w:val="20"/>
        </w:rPr>
        <w:t>Subsea-to-inland fibre redundancy and IXPN peering:</w:t>
      </w:r>
    </w:p>
    <w:p>
      <w:pPr>
        <w:spacing w:before="60" w:after="120" w:line="276" w:lineRule="auto"/>
      </w:pPr>
      <w:r>
        <w:rPr>
          <w:rFonts w:ascii="Calibri" w:hAnsi="Calibri"/>
          <w:color w:val="1E293B"/>
          <w:sz w:val="21"/>
        </w:rPr>
        <w:t xml:space="preserve">A single backhoe cut on terrestrial fibre or a single subsea cable fault (as experienced across West Africa in March 2024) can isolate a data centre. Every designated Energy-Compute Zone SPV is contractually required to maintain </w:t>
      </w:r>
      <w:r>
        <w:rPr>
          <w:rFonts w:ascii="Calibri" w:hAnsi="Calibri"/>
          <w:b/>
          <w:color w:val="1E293B"/>
          <w:sz w:val="21"/>
        </w:rPr>
        <w:t>at least three physically diverse terrestrial fibre paths</w:t>
      </w:r>
      <w:r>
        <w:rPr>
          <w:rFonts w:ascii="Calibri" w:hAnsi="Calibri"/>
          <w:color w:val="1E293B"/>
          <w:sz w:val="21"/>
        </w:rPr>
        <w:t xml:space="preserve"> into the Internet Exchange Point of Nigeria (IXPN) and </w:t>
      </w:r>
      <w:r>
        <w:rPr>
          <w:rFonts w:ascii="Calibri" w:hAnsi="Calibri"/>
          <w:b/>
          <w:color w:val="1E293B"/>
          <w:sz w:val="21"/>
        </w:rPr>
        <w:t>at least two independent subsea cable peering agreements</w:t>
      </w:r>
      <w:r>
        <w:rPr>
          <w:rFonts w:ascii="Calibri" w:hAnsi="Calibri"/>
          <w:color w:val="1E293B"/>
          <w:sz w:val="21"/>
        </w:rPr>
        <w:t>, keeping domestic Nigerian and ECOWAS user traffic entirely within regional peering fabric and eliminating international IP transit charges.</w:t>
      </w:r>
    </w:p>
    <w:p>
      <w:pPr>
        <w:keepNext/>
        <w:spacing w:before="220" w:after="80"/>
      </w:pPr>
      <w:r>
        <w:rPr>
          <w:rFonts w:ascii="Calibri" w:hAnsi="Calibri"/>
          <w:b/>
          <w:color w:val="0A3D1F"/>
          <w:sz w:val="23"/>
        </w:rPr>
        <w:t>6.3 Bypassing Nigeria's transmission grid bottleneck with modular `NVIDIA DSX POD` trapped-power AI factories ("Moving bits over fibre instead of electrons over a broken grid")</w:t>
      </w:r>
    </w:p>
    <w:p>
      <w:pPr>
        <w:spacing w:before="60" w:after="120" w:line="276" w:lineRule="auto"/>
      </w:pPr>
      <w:r>
        <w:rPr>
          <w:rFonts w:ascii="Calibri" w:hAnsi="Calibri"/>
          <w:color w:val="1E293B"/>
          <w:sz w:val="21"/>
        </w:rPr>
        <w:t xml:space="preserve">Nigeria's electricity crisis is not merely a generation shortage; it is a </w:t>
      </w:r>
      <w:r>
        <w:rPr>
          <w:rFonts w:ascii="Calibri" w:hAnsi="Calibri"/>
          <w:b/>
          <w:color w:val="1E293B"/>
          <w:sz w:val="21"/>
        </w:rPr>
        <w:t>structural transmission bottleneck</w:t>
      </w:r>
      <w:r>
        <w:rPr>
          <w:rFonts w:ascii="Calibri" w:hAnsi="Calibri"/>
          <w:color w:val="1E293B"/>
          <w:sz w:val="21"/>
        </w:rPr>
        <w:t xml:space="preserve">. While Nigeria possesses over </w:t>
      </w:r>
      <w:r>
        <w:rPr>
          <w:rFonts w:ascii="Calibri" w:hAnsi="Calibri"/>
          <w:b/>
          <w:color w:val="1E293B"/>
          <w:sz w:val="21"/>
        </w:rPr>
        <w:t>13,000 MW of installed power generation capacity</w:t>
      </w:r>
      <w:r>
        <w:rPr>
          <w:rFonts w:ascii="Calibri" w:hAnsi="Calibri"/>
          <w:color w:val="1E293B"/>
          <w:sz w:val="21"/>
        </w:rPr>
        <w:t xml:space="preserve"> (across Niger Delta gas-fired thermal GenCos, captive industrial IPPs, and hydroelectric dams in Niger, Kogi, and Taraba States) alongside more than 200 Tcf of natural gas and billions of cubic feet of flared gas, the Transmission Company of Nigeria (TCN) high-voltage wheeling grid routinely bottlenecks at </w:t>
      </w:r>
      <w:r>
        <w:rPr>
          <w:rFonts w:ascii="Calibri" w:hAnsi="Calibri"/>
          <w:b/>
          <w:color w:val="1E293B"/>
          <w:sz w:val="21"/>
        </w:rPr>
        <w:t>4,000 to 5,000 MW</w:t>
      </w:r>
      <w:r>
        <w:rPr>
          <w:rFonts w:ascii="Calibri" w:hAnsi="Calibri"/>
          <w:color w:val="1E293B"/>
          <w:sz w:val="21"/>
        </w:rPr>
        <w:t xml:space="preserve">. Consequently, between </w:t>
      </w:r>
      <w:r>
        <w:rPr>
          <w:rFonts w:ascii="Calibri" w:hAnsi="Calibri"/>
          <w:b/>
          <w:color w:val="1E293B"/>
          <w:sz w:val="21"/>
        </w:rPr>
        <w:t>7,000 MW and 8,000 MW of installed generation capacity sits stranded or unwheeled</w:t>
      </w:r>
      <w:r>
        <w:rPr>
          <w:rFonts w:ascii="Calibri" w:hAnsi="Calibri"/>
          <w:color w:val="1E293B"/>
          <w:sz w:val="21"/>
        </w:rPr>
        <w:t>, and building new 330 kV transmission lines from the Niger Delta or Middle Belt to Lagos takes five to ten years of right-of-way litigation and billions of dollars in grid CapEx.</w:t>
      </w:r>
    </w:p>
    <w:p>
      <w:pPr>
        <w:spacing w:before="60" w:after="120" w:line="276" w:lineRule="auto"/>
      </w:pPr>
      <w:r>
        <w:rPr>
          <w:rFonts w:ascii="Calibri" w:hAnsi="Calibri"/>
          <w:color w:val="1E293B"/>
          <w:sz w:val="21"/>
        </w:rPr>
        <w:t xml:space="preserve">On </w:t>
      </w:r>
      <w:r>
        <w:rPr>
          <w:rFonts w:ascii="Calibri" w:hAnsi="Calibri"/>
          <w:b/>
          <w:color w:val="1E293B"/>
          <w:sz w:val="21"/>
        </w:rPr>
        <w:t>21 October 2026 at GTC Berlin</w:t>
      </w:r>
      <w:r>
        <w:rPr>
          <w:rFonts w:ascii="Calibri" w:hAnsi="Calibri"/>
          <w:color w:val="1E293B"/>
          <w:sz w:val="21"/>
        </w:rPr>
        <w:t xml:space="preserve">, NVIDIA unveiled an architectural breakthrough built for this exact constraint: the </w:t>
      </w:r>
      <w:r>
        <w:rPr>
          <w:rFonts w:ascii="Calibri" w:hAnsi="Calibri"/>
          <w:b/>
          <w:color w:val="1E293B"/>
          <w:sz w:val="21"/>
        </w:rPr>
        <w:t>NVIDIA `DSX POD`</w:t>
      </w:r>
      <w:r>
        <w:rPr>
          <w:rFonts w:ascii="Calibri" w:hAnsi="Calibri"/>
          <w:color w:val="1E293B"/>
          <w:sz w:val="21"/>
        </w:rPr>
        <w:t xml:space="preserve"> reference design for modular, factory-built containerised AI factories, with global ecosystem partners (</w:t>
      </w:r>
      <w:r>
        <w:rPr>
          <w:rFonts w:ascii="Calibri" w:hAnsi="Calibri"/>
          <w:b/>
          <w:color w:val="1E293B"/>
          <w:sz w:val="21"/>
        </w:rPr>
        <w:t>Crusoe, Armada, Dell Technologies, HPE, Lenovo, Schneider Electric, Vertiv, Eaton, Delta, Foxconn, and Quanta</w:t>
      </w:r>
      <w:r>
        <w:rPr>
          <w:rFonts w:ascii="Calibri" w:hAnsi="Calibri"/>
          <w:color w:val="1E293B"/>
          <w:sz w:val="21"/>
        </w:rPr>
        <w:t xml:space="preserve">) delivering commercial units in </w:t>
      </w:r>
      <w:r>
        <w:rPr>
          <w:rFonts w:ascii="Calibri" w:hAnsi="Calibri"/>
          <w:b/>
          <w:color w:val="1E293B"/>
          <w:sz w:val="21"/>
        </w:rPr>
        <w:t>2027</w:t>
      </w:r>
      <w:r>
        <w:rPr>
          <w:rFonts w:ascii="Calibri" w:hAnsi="Calibri"/>
          <w:color w:val="1E293B"/>
          <w:sz w:val="21"/>
        </w:rPr>
        <w:t xml:space="preserve"> (</w:t>
      </w:r>
      <w:hyperlink r:id="rId20">
        <w:r>
          <w:rPr>
            <w:rFonts w:ascii="Calibri" w:hAnsi="Calibri"/>
            <w:color w:val="B45309"/>
            <w:u w:val="single"/>
            <w:sz w:val="21"/>
          </w:rPr>
          <w:t>NVIDIA Newsroom</w:t>
        </w:r>
      </w:hyperlink>
      <w:r>
        <w:rPr>
          <w:rFonts w:ascii="Calibri" w:hAnsi="Calibri"/>
          <w:color w:val="1E293B"/>
          <w:sz w:val="21"/>
        </w:rPr>
        <w:t xml:space="preserve">; </w:t>
      </w:r>
      <w:hyperlink r:id="rId21">
        <w:r>
          <w:rPr>
            <w:rFonts w:ascii="Calibri" w:hAnsi="Calibri"/>
            <w:color w:val="B45309"/>
            <w:u w:val="single"/>
            <w:sz w:val="21"/>
          </w:rPr>
          <w:t>NVIDIA Developer Blog</w:t>
        </w:r>
      </w:hyperlink>
      <w:r>
        <w:rPr>
          <w:rFonts w:ascii="Calibri" w:hAnsi="Calibri"/>
          <w:color w:val="1E293B"/>
          <w:sz w:val="21"/>
        </w:rPr>
        <w:t xml:space="preserve">; </w:t>
      </w:r>
      <w:hyperlink r:id="rId43">
        <w:r>
          <w:rPr>
            <w:rFonts w:ascii="Calibri" w:hAnsi="Calibri"/>
            <w:color w:val="B45309"/>
            <w:u w:val="single"/>
            <w:sz w:val="21"/>
          </w:rPr>
          <w:t>NVIDIA DSX POD</w:t>
        </w:r>
      </w:hyperlink>
      <w:r>
        <w:rPr>
          <w:rFonts w:ascii="Calibri" w:hAnsi="Calibri"/>
          <w:color w:val="1E293B"/>
          <w:sz w:val="21"/>
        </w:rPr>
        <w:t xml:space="preserve">; </w:t>
      </w:r>
      <w:hyperlink r:id="rId34">
        <w:r>
          <w:rPr>
            <w:rFonts w:ascii="Calibri" w:hAnsi="Calibri"/>
            <w:color w:val="B45309"/>
            <w:u w:val="single"/>
            <w:sz w:val="21"/>
          </w:rPr>
          <w:t>Data Center Knowledge</w:t>
        </w:r>
      </w:hyperlink>
      <w:r>
        <w:rPr>
          <w:rFonts w:ascii="Calibri" w:hAnsi="Calibri"/>
          <w:color w:val="1E293B"/>
          <w:sz w:val="21"/>
        </w:rPr>
        <w:t>):</w:t>
      </w:r>
    </w:p>
    <w:p>
      <w:pPr>
        <w:spacing w:before="50" w:after="70"/>
        <w:ind w:left="360" w:hanging="360"/>
      </w:pPr>
      <w:r>
        <w:rPr>
          <w:rFonts w:ascii="Calibri" w:hAnsi="Calibri"/>
          <w:b/>
          <w:color w:val="0A3D1F"/>
          <w:sz w:val="20"/>
        </w:rPr>
        <w:t xml:space="preserve">1. </w:t>
      </w:r>
      <w:r>
        <w:rPr>
          <w:rFonts w:ascii="Calibri" w:hAnsi="Calibri"/>
          <w:b/>
          <w:color w:val="1E293B"/>
          <w:sz w:val="20"/>
        </w:rPr>
        <w:t>Factory-Built Turnkey Integration (6 Months Cut to 14 Days On-Site):</w:t>
      </w:r>
      <w:r>
        <w:rPr>
          <w:rFonts w:ascii="Calibri" w:hAnsi="Calibri"/>
          <w:color w:val="1E293B"/>
          <w:sz w:val="20"/>
        </w:rPr>
        <w:t xml:space="preserve"> Each </w:t>
      </w:r>
      <w:r>
        <w:rPr>
          <w:rFonts w:ascii="Consolas" w:hAnsi="Consolas"/>
          <w:b/>
          <w:color w:val="0A3D1F"/>
          <w:sz w:val="19"/>
        </w:rPr>
        <w:t>DSX POD</w:t>
      </w:r>
      <w:r>
        <w:rPr>
          <w:rFonts w:ascii="Calibri" w:hAnsi="Calibri"/>
          <w:color w:val="1E293B"/>
          <w:sz w:val="20"/>
        </w:rPr>
        <w:t xml:space="preserve"> integrates seven </w:t>
      </w:r>
      <w:r>
        <w:rPr>
          <w:rFonts w:ascii="Calibri" w:hAnsi="Calibri"/>
          <w:b/>
          <w:color w:val="1E293B"/>
          <w:sz w:val="20"/>
        </w:rPr>
        <w:t>Vera Rubin NVL72</w:t>
      </w:r>
      <w:r>
        <w:rPr>
          <w:rFonts w:ascii="Calibri" w:hAnsi="Calibri"/>
          <w:color w:val="1E293B"/>
          <w:sz w:val="20"/>
        </w:rPr>
        <w:t xml:space="preserve"> racks (or equivalent high-density accelerator pods), high-speed networking, structured cabling, rack-level power distribution, and </w:t>
      </w:r>
      <w:r>
        <w:rPr>
          <w:rFonts w:ascii="Calibri" w:hAnsi="Calibri"/>
          <w:b/>
          <w:color w:val="1E293B"/>
          <w:sz w:val="20"/>
        </w:rPr>
        <w:t>factory-commissioned closed-loop liquid cooling</w:t>
      </w:r>
      <w:r>
        <w:rPr>
          <w:rFonts w:ascii="Calibri" w:hAnsi="Calibri"/>
          <w:color w:val="1E293B"/>
          <w:sz w:val="20"/>
        </w:rPr>
        <w:t xml:space="preserve"> inside pre-validated modular containers modeled as a digital twin in NVIDIA Omniverse DSX before shipping (</w:t>
      </w:r>
      <w:hyperlink r:id="rId21">
        <w:r>
          <w:rPr>
            <w:rFonts w:ascii="Calibri" w:hAnsi="Calibri"/>
            <w:color w:val="B45309"/>
            <w:u w:val="single"/>
            <w:sz w:val="20"/>
          </w:rPr>
          <w:t>NVIDIA Developer Blog</w:t>
        </w:r>
      </w:hyperlink>
      <w:r>
        <w:rPr>
          <w:rFonts w:ascii="Calibri" w:hAnsi="Calibri"/>
          <w:color w:val="1E293B"/>
          <w:sz w:val="20"/>
        </w:rPr>
        <w:t xml:space="preserve">). Once a concrete pad, gas-turbine/hydro electrical feeder, and fibre drop are prepared, </w:t>
      </w:r>
      <w:r>
        <w:rPr>
          <w:rFonts w:ascii="Calibri" w:hAnsi="Calibri"/>
          <w:b/>
          <w:color w:val="1E293B"/>
          <w:sz w:val="20"/>
        </w:rPr>
        <w:t>on-site assembly and commissioning drop from six months to as little as 14 days</w:t>
      </w:r>
      <w:r>
        <w:rPr>
          <w:rFonts w:ascii="Calibri" w:hAnsi="Calibri"/>
          <w:color w:val="1E293B"/>
          <w:sz w:val="20"/>
        </w:rPr>
        <w:t xml:space="preserve"> (</w:t>
      </w:r>
      <w:hyperlink r:id="rId20">
        <w:r>
          <w:rPr>
            <w:rFonts w:ascii="Calibri" w:hAnsi="Calibri"/>
            <w:color w:val="B45309"/>
            <w:u w:val="single"/>
            <w:sz w:val="20"/>
          </w:rPr>
          <w:t>NVIDIA Newsroom</w:t>
        </w:r>
      </w:hyperlink>
      <w:r>
        <w:rPr>
          <w:rFonts w:ascii="Calibri" w:hAnsi="Calibri"/>
          <w:color w:val="1E293B"/>
          <w:sz w:val="20"/>
        </w:rPr>
        <w:t>).</w:t>
      </w:r>
    </w:p>
    <w:p>
      <w:pPr>
        <w:spacing w:before="50" w:after="70"/>
        <w:ind w:left="360" w:hanging="360"/>
      </w:pPr>
      <w:r>
        <w:rPr>
          <w:rFonts w:ascii="Calibri" w:hAnsi="Calibri"/>
          <w:b/>
          <w:color w:val="0A3D1F"/>
          <w:sz w:val="20"/>
        </w:rPr>
        <w:t xml:space="preserve">2. </w:t>
      </w:r>
      <w:r>
        <w:rPr>
          <w:rFonts w:ascii="Calibri" w:hAnsi="Calibri"/>
          <w:b/>
          <w:color w:val="1E293B"/>
          <w:sz w:val="20"/>
        </w:rPr>
        <w:t>Co-Siting Compute Directly at Trapped Power &amp; Flared-Gas Wellheads:</w:t>
      </w:r>
      <w:r>
        <w:rPr>
          <w:rFonts w:ascii="Calibri" w:hAnsi="Calibri"/>
          <w:color w:val="1E293B"/>
          <w:sz w:val="20"/>
        </w:rPr>
        <w:t xml:space="preserve"> Rather than moving 50 MW of electricity hundreds of kilometres over congested TCN lines to Lagos, Nigeria can deploy 5–20 MW modular </w:t>
      </w:r>
      <w:r>
        <w:rPr>
          <w:rFonts w:ascii="Consolas" w:hAnsi="Consolas"/>
          <w:b/>
          <w:color w:val="0A3D1F"/>
          <w:sz w:val="19"/>
        </w:rPr>
        <w:t>DSX POD</w:t>
      </w:r>
      <w:r>
        <w:rPr>
          <w:rFonts w:ascii="Calibri" w:hAnsi="Calibri"/>
          <w:color w:val="1E293B"/>
          <w:sz w:val="20"/>
        </w:rPr>
        <w:t xml:space="preserve"> clusters </w:t>
      </w:r>
      <w:r>
        <w:rPr>
          <w:rFonts w:ascii="Calibri" w:hAnsi="Calibri"/>
          <w:b/>
          <w:color w:val="1E293B"/>
          <w:sz w:val="20"/>
        </w:rPr>
        <w:t>directly behind the meter at the power source</w:t>
      </w:r>
      <w:r>
        <w:rPr>
          <w:rFonts w:ascii="Calibri" w:hAnsi="Calibri"/>
          <w:color w:val="1E293B"/>
          <w:sz w:val="20"/>
        </w:rPr>
        <w:t>:</w:t>
      </w:r>
    </w:p>
    <w:p>
      <w:pPr>
        <w:pStyle w:val="ListBullet"/>
        <w:spacing w:before="40" w:after="60"/>
      </w:pPr>
      <w:r>
        <w:rPr>
          <w:rFonts w:ascii="Calibri" w:hAnsi="Calibri"/>
          <w:b/>
          <w:color w:val="1E293B"/>
          <w:sz w:val="20"/>
        </w:rPr>
        <w:t>Stranded Thermal GenCos &amp; Flared-Gas Sites (Delta, Rivers, Bayelsa, Edo, Imo):</w:t>
      </w:r>
      <w:r>
        <w:rPr>
          <w:rFonts w:ascii="Calibri" w:hAnsi="Calibri"/>
          <w:color w:val="1E293B"/>
          <w:sz w:val="20"/>
        </w:rPr>
        <w:t xml:space="preserve"> Partnering with stranded-energy modular compute specialists in the DSX ecosystem—specifically </w:t>
      </w:r>
      <w:r>
        <w:rPr>
          <w:rFonts w:ascii="Calibri" w:hAnsi="Calibri"/>
          <w:b/>
          <w:color w:val="1E293B"/>
          <w:sz w:val="20"/>
        </w:rPr>
        <w:t>Crusoe</w:t>
      </w:r>
      <w:r>
        <w:rPr>
          <w:rFonts w:ascii="Calibri" w:hAnsi="Calibri"/>
          <w:color w:val="1E293B"/>
          <w:sz w:val="20"/>
        </w:rPr>
        <w:t xml:space="preserve"> (which pioneered flared-gas modular AI data centres) and </w:t>
      </w:r>
      <w:r>
        <w:rPr>
          <w:rFonts w:ascii="Calibri" w:hAnsi="Calibri"/>
          <w:b/>
          <w:color w:val="1E293B"/>
          <w:sz w:val="20"/>
        </w:rPr>
        <w:t>Armada</w:t>
      </w:r>
      <w:r>
        <w:rPr>
          <w:rFonts w:ascii="Calibri" w:hAnsi="Calibri"/>
          <w:color w:val="1E293B"/>
          <w:sz w:val="20"/>
        </w:rPr>
        <w:t xml:space="preserve">, alongside power/cooling leaders </w:t>
      </w:r>
      <w:r>
        <w:rPr>
          <w:rFonts w:ascii="Calibri" w:hAnsi="Calibri"/>
          <w:b/>
          <w:color w:val="1E293B"/>
          <w:sz w:val="20"/>
        </w:rPr>
        <w:t>Vertiv, Schneider Electric, and Eaton</w:t>
      </w:r>
      <w:r>
        <w:rPr>
          <w:rFonts w:ascii="Calibri" w:hAnsi="Calibri"/>
          <w:color w:val="1E293B"/>
          <w:sz w:val="20"/>
        </w:rPr>
        <w:t xml:space="preserve"> and Cassava's </w:t>
      </w:r>
      <w:r>
        <w:rPr>
          <w:rFonts w:ascii="Calibri" w:hAnsi="Calibri"/>
          <w:b/>
          <w:color w:val="1E293B"/>
          <w:sz w:val="20"/>
        </w:rPr>
        <w:t>Distributed Power Africa</w:t>
      </w:r>
      <w:r>
        <w:rPr>
          <w:rFonts w:ascii="Calibri" w:hAnsi="Calibri"/>
          <w:color w:val="1E293B"/>
          <w:sz w:val="20"/>
        </w:rPr>
        <w:t xml:space="preserve">—to convert unwheeled megawatts and flared gas directly into tokens at </w:t>
      </w:r>
      <w:r>
        <w:rPr>
          <w:rFonts w:ascii="Calibri" w:hAnsi="Calibri"/>
          <w:b/>
          <w:color w:val="1E293B"/>
          <w:sz w:val="20"/>
        </w:rPr>
        <w:t>$0.03–$0.05/kWh</w:t>
      </w:r>
      <w:r>
        <w:rPr>
          <w:rFonts w:ascii="Calibri" w:hAnsi="Calibri"/>
          <w:color w:val="1E293B"/>
          <w:sz w:val="20"/>
        </w:rPr>
        <w:t>.</w:t>
      </w:r>
    </w:p>
    <w:p>
      <w:pPr>
        <w:pStyle w:val="ListBullet"/>
        <w:spacing w:before="40" w:after="60"/>
      </w:pPr>
      <w:r>
        <w:rPr>
          <w:rFonts w:ascii="Calibri" w:hAnsi="Calibri"/>
          <w:b/>
          <w:color w:val="1E293B"/>
          <w:sz w:val="20"/>
        </w:rPr>
        <w:t>Stranded Hydro &amp; Solar-Hybrid Sites (Niger, Kogi, Taraba, Kano, Kaduna):</w:t>
      </w:r>
      <w:r>
        <w:rPr>
          <w:rFonts w:ascii="Calibri" w:hAnsi="Calibri"/>
          <w:color w:val="1E293B"/>
          <w:sz w:val="20"/>
        </w:rPr>
        <w:t xml:space="preserve"> Placing modular liquid-cooled pods directly at hydroelectric switchyards (Kainji/Jebba/Shiroro/Zungeru/Kashimbila corridors) to monetise wet-season spill power and provide geographic redundancy in Northern and Middle Belt Nigeria.</w:t>
      </w:r>
    </w:p>
    <w:p>
      <w:pPr>
        <w:pStyle w:val="ListBullet"/>
        <w:spacing w:before="40" w:after="60"/>
      </w:pPr>
      <w:r>
        <w:rPr>
          <w:rFonts w:ascii="Calibri" w:hAnsi="Calibri"/>
          <w:b/>
          <w:color w:val="1E293B"/>
          <w:sz w:val="20"/>
        </w:rPr>
        <w:t>Moving Bits Over Fibre:</w:t>
      </w:r>
      <w:r>
        <w:rPr>
          <w:rFonts w:ascii="Calibri" w:hAnsi="Calibri"/>
          <w:color w:val="1E293B"/>
          <w:sz w:val="20"/>
        </w:rPr>
        <w:t xml:space="preserve"> Pulling a redundant pair of terrestrial single-mode dark-fibre cables (via Phase3 Telecom's power-line optical ground wire [OPGW] network, Galaxy Backbone, MTN, or Liquid Intelligent Technologies) to a trapped-power substation costs a tiny fraction of building a 330 kV transmission line and takes weeks rather than years.</w:t>
      </w:r>
    </w:p>
    <w:p>
      <w:pPr>
        <w:spacing w:before="50" w:after="70"/>
        <w:ind w:left="360" w:hanging="360"/>
      </w:pPr>
      <w:r>
        <w:rPr>
          <w:rFonts w:ascii="Calibri" w:hAnsi="Calibri"/>
          <w:b/>
          <w:color w:val="0A3D1F"/>
          <w:sz w:val="20"/>
        </w:rPr>
        <w:t xml:space="preserve">3. </w:t>
      </w:r>
      <w:r>
        <w:rPr>
          <w:rFonts w:ascii="Calibri" w:hAnsi="Calibri"/>
          <w:b/>
          <w:color w:val="1E293B"/>
          <w:sz w:val="20"/>
        </w:rPr>
        <w:t>Turnkey Air-Gapped Sovereign &amp; Defence Enclaves:</w:t>
      </w:r>
      <w:r>
        <w:rPr>
          <w:rFonts w:ascii="Calibri" w:hAnsi="Calibri"/>
          <w:color w:val="1E293B"/>
          <w:sz w:val="20"/>
        </w:rPr>
        <w:t xml:space="preserve"> As IDC infrastructure analysts highlighted at the DSX POD launch, pre-validated modular containers give sovereign buyers a physically isolated, rapid-deployment unit (</w:t>
      </w:r>
      <w:hyperlink r:id="rId20">
        <w:r>
          <w:rPr>
            <w:rFonts w:ascii="Calibri" w:hAnsi="Calibri"/>
            <w:color w:val="B45309"/>
            <w:u w:val="single"/>
            <w:sz w:val="20"/>
          </w:rPr>
          <w:t>NVIDIA Newsroom</w:t>
        </w:r>
      </w:hyperlink>
      <w:r>
        <w:rPr>
          <w:rFonts w:ascii="Calibri" w:hAnsi="Calibri"/>
          <w:color w:val="1E293B"/>
          <w:sz w:val="20"/>
        </w:rPr>
        <w:t xml:space="preserve">). Nigeria's </w:t>
      </w:r>
      <w:r>
        <w:rPr>
          <w:rFonts w:ascii="Calibri" w:hAnsi="Calibri"/>
          <w:b/>
          <w:color w:val="1E293B"/>
          <w:sz w:val="20"/>
        </w:rPr>
        <w:t>3,000–8,000 GPU Military and National Security Enclave</w:t>
      </w:r>
      <w:r>
        <w:rPr>
          <w:rFonts w:ascii="Calibri" w:hAnsi="Calibri"/>
          <w:color w:val="1E293B"/>
          <w:sz w:val="20"/>
        </w:rPr>
        <w:t xml:space="preserve"> (Table 3) can be deployed as dedicated, Tempest-shielded, air-gapped </w:t>
      </w:r>
      <w:r>
        <w:rPr>
          <w:rFonts w:ascii="Consolas" w:hAnsi="Consolas"/>
          <w:b/>
          <w:color w:val="0A3D1F"/>
          <w:sz w:val="19"/>
        </w:rPr>
        <w:t>DSX POD</w:t>
      </w:r>
      <w:r>
        <w:rPr>
          <w:rFonts w:ascii="Calibri" w:hAnsi="Calibri"/>
          <w:color w:val="1E293B"/>
          <w:sz w:val="20"/>
        </w:rPr>
        <w:t xml:space="preserve"> units on secure military bases with independent captive power—completely eliminating multi-tenant cloud exposure.</w:t>
      </w:r>
    </w:p>
    <w:p>
      <w:pPr>
        <w:keepNext/>
        <w:spacing w:before="320" w:after="120"/>
        <w:pBdr>
          <w:bottom w:val="single" w:sz="12" w:space="4" w:color="B45309"/>
        </w:pBdr>
      </w:pPr>
      <w:r>
        <w:rPr>
          <w:rFonts w:ascii="Calibri" w:hAnsi="Calibri"/>
          <w:b/>
          <w:color w:val="0A3D1F"/>
          <w:sz w:val="29"/>
        </w:rPr>
        <w:t>7. Securing national compute: cyber, physical, and export-control defence</w:t>
      </w:r>
    </w:p>
    <w:p>
      <w:pPr>
        <w:spacing w:before="60" w:after="120" w:line="276" w:lineRule="auto"/>
      </w:pPr>
      <w:r>
        <w:rPr>
          <w:rFonts w:ascii="Calibri" w:hAnsi="Calibri"/>
          <w:color w:val="1E293B"/>
          <w:sz w:val="21"/>
        </w:rPr>
        <w:t xml:space="preserve">Compute capacity that can be physically sabotaged, disabled remotely via vendor license locks, contaminated by export-control breaches, or exfiltrated by foreign intelligence services is not sovereign. In April 2026, NITDA and the Nigeria Data Protection Commission (NDPC) warned that roughly </w:t>
      </w:r>
      <w:r>
        <w:rPr>
          <w:rFonts w:ascii="Calibri" w:hAnsi="Calibri"/>
          <w:b/>
          <w:color w:val="1E293B"/>
          <w:sz w:val="21"/>
        </w:rPr>
        <w:t>90% of Nigerian data is currently hosted abroad</w:t>
      </w:r>
      <w:r>
        <w:rPr>
          <w:rFonts w:ascii="Calibri" w:hAnsi="Calibri"/>
          <w:color w:val="1E293B"/>
          <w:sz w:val="21"/>
        </w:rPr>
        <w:t>, exposing state records and citizen metadata to extraterritorial legal regimes (</w:t>
      </w:r>
      <w:hyperlink r:id="rId35">
        <w:r>
          <w:rPr>
            <w:rFonts w:ascii="Calibri" w:hAnsi="Calibri"/>
            <w:color w:val="B45309"/>
            <w:u w:val="single"/>
            <w:sz w:val="21"/>
          </w:rPr>
          <w:t>Techeconomy</w:t>
        </w:r>
      </w:hyperlink>
      <w:r>
        <w:rPr>
          <w:rFonts w:ascii="Calibri" w:hAnsi="Calibri"/>
          <w:color w:val="1E293B"/>
          <w:sz w:val="21"/>
        </w:rPr>
        <w:t>). The 32,000-GPU floor counts as sovereign capacity only if protected end-to-end across all eight threat vectors below:</w:t>
      </w:r>
    </w:p>
    <w:p>
      <w:pPr>
        <w:keepNext/>
        <w:spacing w:before="220" w:after="80"/>
      </w:pPr>
      <w:r>
        <w:rPr>
          <w:rFonts w:ascii="Calibri" w:hAnsi="Calibri"/>
          <w:b/>
          <w:color w:val="B45309"/>
          <w:sz w:val="23"/>
        </w:rPr>
        <w:t>Table 7: Eight-Layer Sovereign Compute Security and Compliance Matrix</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Security Vector</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Specific Vulnerability</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Mandatory Technical &amp; Contractual Control</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Lead Authority</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 Physical Sites &amp; Power</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Sabotage, transformer failure, fuel interdiction, or physical intrusion</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Designate Energy-Compute Zones as </w:t>
            </w:r>
            <w:r>
              <w:rPr>
                <w:rFonts w:ascii="Calibri" w:hAnsi="Calibri"/>
                <w:b/>
                <w:color w:val="1E293B"/>
                <w:sz w:val="17"/>
              </w:rPr>
              <w:t>Critical National Infrastructure (CNI)</w:t>
            </w:r>
            <w:r>
              <w:rPr>
                <w:rFonts w:ascii="Calibri" w:hAnsi="Calibri"/>
                <w:color w:val="1E293B"/>
                <w:sz w:val="17"/>
              </w:rPr>
              <w:t xml:space="preserve"> under ONSA; multi-site geographic dispersion (Lagos, Ogun, Niger Delta); captive gas + N+1 BESS/solar microgrids.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ONSA, Ministry of Interior, Zone SPVs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2. Hardware Supply Chain</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Tampered accelerators, compromised baseboard management controllers (BMCs), or counterfeit networking gear</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Procurement solely from OEM-attested channels; mandatory cryptographic firmware attestation at delivery; establishment of a </w:t>
            </w:r>
            <w:r>
              <w:rPr>
                <w:rFonts w:ascii="Calibri" w:hAnsi="Calibri"/>
                <w:b/>
                <w:color w:val="1E293B"/>
                <w:sz w:val="17"/>
              </w:rPr>
              <w:t>National Hardware &amp; Firmware Attestation Lab</w:t>
            </w:r>
            <w:r>
              <w:rPr>
                <w:rFonts w:ascii="Calibri" w:hAnsi="Calibri"/>
                <w:color w:val="1E293B"/>
                <w:sz w:val="17"/>
              </w:rPr>
              <w:t>.</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ONSA, NITDA, Defence Space Admin</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3. Remote Shutdown &amp; License Locks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Foreign vendor API suspension (as occurred in June 2026 (</w:t>
            </w:r>
            <w:hyperlink r:id="rId16">
              <w:r>
                <w:rPr>
                  <w:rFonts w:ascii="Calibri" w:hAnsi="Calibri"/>
                  <w:color w:val="B45309"/>
                  <w:u w:val="single"/>
                  <w:sz w:val="17"/>
                </w:rPr>
                <w:t>AU Startups</w:t>
              </w:r>
            </w:hyperlink>
            <w:r>
              <w:rPr>
                <w:rFonts w:ascii="Calibri" w:hAnsi="Calibri"/>
                <w:color w:val="1E293B"/>
                <w:sz w:val="17"/>
              </w:rPr>
              <w:t>)) or remote telemetry kill-switches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Concession clauses strictly prohibiting remote disablement; mandatory </w:t>
            </w:r>
            <w:r>
              <w:rPr>
                <w:rFonts w:ascii="Calibri" w:hAnsi="Calibri"/>
                <w:b/>
                <w:color w:val="1E293B"/>
                <w:sz w:val="17"/>
              </w:rPr>
              <w:t>local weight and software license escrow</w:t>
            </w:r>
            <w:r>
              <w:rPr>
                <w:rFonts w:ascii="Calibri" w:hAnsi="Calibri"/>
                <w:color w:val="1E293B"/>
                <w:sz w:val="17"/>
              </w:rPr>
              <w:t xml:space="preserve"> in Nigeria; pre-staged open-weight fallback models for all public services.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NITDA, Attorney-General, NCAIR</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4. Cyber &amp; Cluster Fabric</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Ransomware, model-weight theft, side-channel attacks across multi-tenant GPU clusters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Hardware-enforced confidential computing (trusted execution environments); dedicated </w:t>
            </w:r>
            <w:r>
              <w:rPr>
                <w:rFonts w:ascii="Calibri" w:hAnsi="Calibri"/>
                <w:b/>
                <w:color w:val="1E293B"/>
                <w:sz w:val="17"/>
              </w:rPr>
              <w:t>National Compute SOC</w:t>
            </w:r>
            <w:r>
              <w:rPr>
                <w:rFonts w:ascii="Calibri" w:hAnsi="Calibri"/>
                <w:color w:val="1E293B"/>
                <w:sz w:val="17"/>
              </w:rPr>
              <w:t>; mandatory quarterly adversarial red-team exercises.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ngCERT (ONSA), NITDA</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5. Citizen &amp; State Data</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Extraterritorial foreign subpoenas or unauthorised scraping of Nigerian tax, health, land, and farmer registries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Mandatory onshore hosting for sovereign and citizen-identifiable workloads under the Nigeria Data Protection Act (NDPA); hardware security module (HSM) encryption keys held exclusively in Nigeria.</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NDPC, NITDA, Galaxy Backbone</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6. Model Safety, Agent Governance &amp; Linguistic Alignment</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Hallucinated medical/agronomic advice, rogue tool-use agents, prompt injection, or manipulation in Nigerian languages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Establishment of the </w:t>
            </w:r>
            <w:r>
              <w:rPr>
                <w:rFonts w:ascii="Calibri" w:hAnsi="Calibri"/>
                <w:b/>
                <w:color w:val="1E293B"/>
                <w:sz w:val="17"/>
              </w:rPr>
              <w:t>National AI Security and Evaluation Unit</w:t>
            </w:r>
            <w:r>
              <w:rPr>
                <w:rFonts w:ascii="Calibri" w:hAnsi="Calibri"/>
                <w:color w:val="1E293B"/>
                <w:sz w:val="17"/>
              </w:rPr>
              <w:t xml:space="preserve"> to red-team models in Yoruba, Hausa, Igbo, and Pidgin; mandatory adoption of </w:t>
            </w:r>
            <w:r>
              <w:rPr>
                <w:rFonts w:ascii="Calibri" w:hAnsi="Calibri"/>
                <w:b/>
                <w:color w:val="1E293B"/>
                <w:sz w:val="17"/>
              </w:rPr>
              <w:t>NVIDIA `OpenShell`</w:t>
            </w:r>
            <w:r>
              <w:rPr>
                <w:rFonts w:ascii="Calibri" w:hAnsi="Calibri"/>
                <w:color w:val="1E293B"/>
                <w:sz w:val="17"/>
              </w:rPr>
              <w:t xml:space="preserve"> (deployed by Cassava AI on 21 Oct 2026 (</w:t>
            </w:r>
            <w:hyperlink r:id="rId33">
              <w:r>
                <w:rPr>
                  <w:rFonts w:ascii="Calibri" w:hAnsi="Calibri"/>
                  <w:color w:val="B45309"/>
                  <w:u w:val="single"/>
                  <w:sz w:val="17"/>
                </w:rPr>
                <w:t>Cassava AI</w:t>
              </w:r>
            </w:hyperlink>
            <w:r>
              <w:rPr>
                <w:rFonts w:ascii="Calibri" w:hAnsi="Calibri"/>
                <w:color w:val="1E293B"/>
                <w:sz w:val="17"/>
              </w:rPr>
              <w:t>)) to enforce independent runtime security boundaries around autonomous AI agents.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NCAIR, NITDA, Sector Regulators</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7. Defence &amp; Intelligence Workloads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Foreign espionage or cross-tenant leakage of military, satellite, and counter-insurgency analytics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Physically isolated, </w:t>
            </w:r>
            <w:r>
              <w:rPr>
                <w:rFonts w:ascii="Calibri" w:hAnsi="Calibri"/>
                <w:b/>
                <w:color w:val="1E293B"/>
                <w:sz w:val="17"/>
              </w:rPr>
              <w:t>air-gapped sovereign defence enclave</w:t>
            </w:r>
            <w:r>
              <w:rPr>
                <w:rFonts w:ascii="Calibri" w:hAnsi="Calibri"/>
                <w:color w:val="1E293B"/>
                <w:sz w:val="17"/>
              </w:rPr>
              <w:t xml:space="preserve"> (3,000–8,000 GPUs) deployed via turnkey containerised </w:t>
            </w:r>
            <w:r>
              <w:rPr>
                <w:rFonts w:ascii="Calibri" w:hAnsi="Calibri"/>
                <w:b/>
                <w:color w:val="1E293B"/>
                <w:sz w:val="17"/>
              </w:rPr>
              <w:t>`NVIDIA DSX POD`</w:t>
            </w:r>
            <w:r>
              <w:rPr>
                <w:rFonts w:ascii="Calibri" w:hAnsi="Calibri"/>
                <w:color w:val="1E293B"/>
                <w:sz w:val="17"/>
              </w:rPr>
              <w:t xml:space="preserve"> units (</w:t>
            </w:r>
            <w:hyperlink r:id="rId20">
              <w:r>
                <w:rPr>
                  <w:rFonts w:ascii="Calibri" w:hAnsi="Calibri"/>
                  <w:color w:val="B45309"/>
                  <w:u w:val="single"/>
                  <w:sz w:val="17"/>
                </w:rPr>
                <w:t>NVIDIA Newsroom</w:t>
              </w:r>
            </w:hyperlink>
            <w:r>
              <w:rPr>
                <w:rFonts w:ascii="Calibri" w:hAnsi="Calibri"/>
                <w:color w:val="1E293B"/>
                <w:sz w:val="17"/>
              </w:rPr>
              <w:t>) on military sites with cleared Nigerian personnel and zero commercial network links.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Ministry of Defence, DIA, ONSA, NASRDA</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8. Export-Control Contagion</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Secondary sanctions or loss of US/EU chip and DFI access due to mixing rival hardware stacks</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Strict entity-level legal, corporate, balance-sheet, and network separation</w:t>
            </w:r>
            <w:r>
              <w:rPr>
                <w:rFonts w:ascii="Calibri" w:hAnsi="Calibri"/>
                <w:color w:val="1E293B"/>
                <w:sz w:val="17"/>
              </w:rPr>
              <w:t xml:space="preserve"> between US/Allied SPVs and Non-US SPVs; pre-contract compliance sign-off on every hardware order.</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Presidential Delivery Council, Foreign Affairs, ICRC</w:t>
            </w:r>
          </w:p>
        </w:tc>
      </w:tr>
    </w:tbl>
    <w:p>
      <w:pPr>
        <w:spacing w:before="0" w:after="120"/>
      </w:pPr>
    </w:p>
    <w:p>
      <w:pPr>
        <w:spacing w:before="60" w:after="120" w:line="276" w:lineRule="auto"/>
      </w:pPr>
      <w:r>
        <w:rPr>
          <w:rFonts w:ascii="Calibri" w:hAnsi="Calibri"/>
          <w:b/>
          <w:color w:val="1E293B"/>
          <w:sz w:val="21"/>
        </w:rPr>
        <w:t>Sizing the National AI Security and Evaluation Unit.</w:t>
      </w:r>
      <w:r>
        <w:rPr>
          <w:rFonts w:ascii="Calibri" w:hAnsi="Calibri"/>
          <w:color w:val="1E293B"/>
          <w:sz w:val="21"/>
        </w:rPr>
        <w:t xml:space="preserve"> The United Kingdom has committed £240 million to its AI Security Institute to evaluate frontier risks (</w:t>
      </w:r>
      <w:hyperlink r:id="rId58">
        <w:r>
          <w:rPr>
            <w:rFonts w:ascii="Calibri" w:hAnsi="Calibri"/>
            <w:color w:val="B45309"/>
            <w:u w:val="single"/>
            <w:sz w:val="21"/>
          </w:rPr>
          <w:t>CASRAI</w:t>
        </w:r>
      </w:hyperlink>
      <w:r>
        <w:rPr>
          <w:rFonts w:ascii="Calibri" w:hAnsi="Calibri"/>
          <w:color w:val="1E293B"/>
          <w:sz w:val="21"/>
        </w:rPr>
        <w:t xml:space="preserve">). Nigeria does not need to replicate a £240 million frontier bio-weapons budget; a lean </w:t>
      </w:r>
      <w:r>
        <w:rPr>
          <w:rFonts w:ascii="Calibri" w:hAnsi="Calibri"/>
          <w:b/>
          <w:color w:val="1E293B"/>
          <w:sz w:val="21"/>
        </w:rPr>
        <w:t>$10M–$15M Nigerian AI Security and Evaluation Unit</w:t>
      </w:r>
      <w:r>
        <w:rPr>
          <w:rFonts w:ascii="Calibri" w:hAnsi="Calibri"/>
          <w:color w:val="1E293B"/>
          <w:sz w:val="21"/>
        </w:rPr>
        <w:t xml:space="preserve"> housed at NCAIR can focus squarely on what foreign institutes ignore: testing model reliability, hallucination rates, cyber-resilience, and safety in Nigerian languages and high-stakes domestic workflows (agricultural pest advice, maternal triage, customs classification), while serving as the shared certification authority for the ECOWAS/AU compute pool.</w:t>
      </w:r>
    </w:p>
    <w:p>
      <w:pPr>
        <w:keepNext/>
        <w:spacing w:before="320" w:after="120"/>
        <w:pBdr>
          <w:bottom w:val="single" w:sz="12" w:space="4" w:color="B45309"/>
        </w:pBdr>
      </w:pPr>
      <w:r>
        <w:rPr>
          <w:rFonts w:ascii="Calibri" w:hAnsi="Calibri"/>
          <w:b/>
          <w:color w:val="0A3D1F"/>
          <w:sz w:val="29"/>
        </w:rPr>
        <w:t>8. Distributed compute: the 4-tier national grid, procurement engine, and six access pillars</w:t>
      </w:r>
    </w:p>
    <w:p>
      <w:pPr>
        <w:spacing w:before="60" w:after="120" w:line="276" w:lineRule="auto"/>
      </w:pPr>
      <w:r>
        <w:rPr>
          <w:rFonts w:ascii="Calibri" w:hAnsi="Calibri"/>
          <w:color w:val="1E293B"/>
          <w:sz w:val="21"/>
        </w:rPr>
        <w:t xml:space="preserve">Hyperscale zones in Lagos and Ogun cannot serve 267 million Nigerians on their own if fiber backhaul is congested, state ministries lack local caching, and rural citizens cannot afford mobile data. Reconciling the infrastructure architecture of the Strategy Paper with the six access pillars of the </w:t>
      </w:r>
      <w:r>
        <w:rPr>
          <w:rFonts w:ascii="Calibri" w:hAnsi="Calibri"/>
          <w:i/>
          <w:color w:val="1E293B"/>
          <w:sz w:val="21"/>
        </w:rPr>
        <w:t>Benevolent Tokenomics</w:t>
      </w:r>
      <w:r>
        <w:rPr>
          <w:rFonts w:ascii="Calibri" w:hAnsi="Calibri"/>
          <w:color w:val="1E293B"/>
          <w:sz w:val="21"/>
        </w:rPr>
        <w:t xml:space="preserve"> Policy Brief, this plan links four physical compute tiers through a single open-standard </w:t>
      </w:r>
      <w:r>
        <w:rPr>
          <w:rFonts w:ascii="Calibri" w:hAnsi="Calibri"/>
          <w:b/>
          <w:color w:val="1E293B"/>
          <w:sz w:val="21"/>
        </w:rPr>
        <w:t>National Compute Exchange</w:t>
      </w:r>
      <w:r>
        <w:rPr>
          <w:rFonts w:ascii="Calibri" w:hAnsi="Calibri"/>
          <w:color w:val="1E293B"/>
          <w:sz w:val="21"/>
        </w:rPr>
        <w:t xml:space="preserve"> and drives adoption through six public access rules.</w:t>
      </w:r>
    </w:p>
    <w:p>
      <w:pPr>
        <w:keepNext/>
        <w:spacing w:before="160" w:after="80"/>
        <w:jc w:val="center"/>
      </w:pPr>
      <w:r>
        <w:drawing>
          <wp:inline xmlns:a="http://schemas.openxmlformats.org/drawingml/2006/main" xmlns:pic="http://schemas.openxmlformats.org/drawingml/2006/picture">
            <wp:extent cx="6217920" cy="3383458"/>
            <wp:docPr id="3" name="Picture 3"/>
            <wp:cNvGraphicFramePr>
              <a:graphicFrameLocks noChangeAspect="1"/>
            </wp:cNvGraphicFramePr>
            <a:graphic>
              <a:graphicData uri="http://schemas.openxmlformats.org/drawingml/2006/picture">
                <pic:pic>
                  <pic:nvPicPr>
                    <pic:cNvPr id="0" name="fig3_distributed_grid.png"/>
                    <pic:cNvPicPr/>
                  </pic:nvPicPr>
                  <pic:blipFill>
                    <a:blip r:embed="rId59"/>
                    <a:stretch>
                      <a:fillRect/>
                    </a:stretch>
                  </pic:blipFill>
                  <pic:spPr>
                    <a:xfrm>
                      <a:off x="0" y="0"/>
                      <a:ext cx="6217920" cy="3383458"/>
                    </a:xfrm>
                    <a:prstGeom prst="rect"/>
                  </pic:spPr>
                </pic:pic>
              </a:graphicData>
            </a:graphic>
          </wp:inline>
        </w:drawing>
      </w:r>
    </w:p>
    <w:p>
      <w:pPr>
        <w:spacing w:before="0" w:after="200"/>
        <w:jc w:val="center"/>
      </w:pPr>
      <w:r>
        <w:rPr>
          <w:rFonts w:ascii="Calibri" w:hAnsi="Calibri"/>
          <w:b/>
          <w:i/>
          <w:color w:val="0A3D1F"/>
          <w:sz w:val="18"/>
        </w:rPr>
        <w:t>Figure 3: The 4-Tier Distributed Compute Grid &amp; National Compute Exchange</w:t>
      </w:r>
    </w:p>
    <w:p>
      <w:pPr>
        <w:keepNext/>
        <w:spacing w:before="220" w:after="80"/>
      </w:pPr>
      <w:r>
        <w:rPr>
          <w:rFonts w:ascii="Calibri" w:hAnsi="Calibri"/>
          <w:b/>
          <w:color w:val="B45309"/>
          <w:sz w:val="23"/>
        </w:rPr>
        <w:t>Table 8: The Four-Tier National Distributed Compute Grid</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Grid Tier</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Physical Scale &amp; Target Footprint (2026–2031)</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Primary Workloads &amp; Latency Profile</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Anchor Operators &amp; Financing Mechanism</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Tier 1: Hyperscale Energy-Compute Zones</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32,000 GPUs (45 MW) Floor to 120,000 GPUs (170 MW) Target</w:t>
            </w:r>
            <w:r>
              <w:rPr>
                <w:rFonts w:ascii="Calibri" w:hAnsi="Calibri"/>
                <w:color w:val="1E293B"/>
                <w:sz w:val="17"/>
              </w:rPr>
              <w:t xml:space="preserve"> across 2–3 coastal and gas-field zones (Lekki, Eko Atlantic, Ogun, Niger Delta).</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Heavy national inference, 20% Sovereign Reserve, Oracle simulator runs, Nigerian-language model training/fine-tuning, regional ECOWAS wholesale.</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Zone PPP SPVs (</w:t>
            </w:r>
            <w:r>
              <w:rPr>
                <w:rFonts w:ascii="Calibri" w:hAnsi="Calibri"/>
                <w:b/>
                <w:color w:val="1E293B"/>
                <w:sz w:val="17"/>
              </w:rPr>
              <w:t>Kasi/NSIA, Cassava–NVIDIA, MTN Genova, Airtel Nxtra, Tetracore</w:t>
            </w:r>
            <w:r>
              <w:rPr>
                <w:rFonts w:ascii="Calibri" w:hAnsi="Calibri"/>
                <w:color w:val="1E293B"/>
                <w:sz w:val="17"/>
              </w:rPr>
              <w:t>) + DFI blended finance.</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Tier 2: Trapped-Power `DSX POD`s &amp; Regional/State Edge Nodes</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14-Day Modular `NVIDIA DSX POD` Containers at Trapped-Power IPPs/Hydro Sites</w:t>
            </w:r>
            <w:r>
              <w:rPr>
                <w:rFonts w:ascii="Calibri" w:hAnsi="Calibri"/>
                <w:color w:val="1E293B"/>
                <w:sz w:val="17"/>
              </w:rPr>
              <w:t xml:space="preserve"> + </w:t>
            </w:r>
            <w:r>
              <w:rPr>
                <w:rFonts w:ascii="Calibri" w:hAnsi="Calibri"/>
                <w:b/>
                <w:color w:val="1E293B"/>
                <w:sz w:val="17"/>
              </w:rPr>
              <w:t>6 Geopolitical Zone Hubs &amp; 36 State/FCT Nodes</w:t>
            </w:r>
            <w:r>
              <w:rPr>
                <w:rFonts w:ascii="Calibri" w:hAnsi="Calibri"/>
                <w:color w:val="1E293B"/>
                <w:sz w:val="17"/>
              </w:rPr>
              <w:t xml:space="preserve"> (50–500+ GPUs per node).</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Bypasses TCN transmission grid bottlenecks by processing batch/regional inference, Oracle simulations, and state MDA/hospital/university workloads directly at stranded gas and hydro power plants (&lt;10 ms regional fibre latency).</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DSX POD Trapped-Power SPVs</w:t>
            </w:r>
            <w:r>
              <w:rPr>
                <w:rFonts w:ascii="Calibri" w:hAnsi="Calibri"/>
                <w:color w:val="1E293B"/>
                <w:sz w:val="17"/>
              </w:rPr>
              <w:t xml:space="preserve"> (</w:t>
            </w:r>
            <w:r>
              <w:rPr>
                <w:rFonts w:ascii="Calibri" w:hAnsi="Calibri"/>
                <w:b/>
                <w:color w:val="1E293B"/>
                <w:sz w:val="17"/>
              </w:rPr>
              <w:t>Crusoe, Armada, Vertiv, Schneider, Dell, HPE, Distributed Power Africa</w:t>
            </w:r>
            <w:r>
              <w:rPr>
                <w:rFonts w:ascii="Calibri" w:hAnsi="Calibri"/>
                <w:color w:val="1E293B"/>
                <w:sz w:val="17"/>
              </w:rPr>
              <w:t xml:space="preserve"> (</w:t>
            </w:r>
            <w:hyperlink r:id="rId20">
              <w:r>
                <w:rPr>
                  <w:rFonts w:ascii="Calibri" w:hAnsi="Calibri"/>
                  <w:color w:val="B45309"/>
                  <w:u w:val="single"/>
                  <w:sz w:val="17"/>
                </w:rPr>
                <w:t>NVIDIA Newsroom</w:t>
              </w:r>
            </w:hyperlink>
            <w:r>
              <w:rPr>
                <w:rFonts w:ascii="Calibri" w:hAnsi="Calibri"/>
                <w:color w:val="1E293B"/>
                <w:sz w:val="17"/>
              </w:rPr>
              <w:t xml:space="preserve">)) + Federal/State mini-PPPs under </w:t>
            </w:r>
            <w:r>
              <w:rPr>
                <w:rFonts w:ascii="Calibri" w:hAnsi="Calibri"/>
                <w:b/>
                <w:color w:val="1E293B"/>
                <w:sz w:val="17"/>
              </w:rPr>
              <w:t>ICRC's NGN 10B–20B fast-track threshold</w:t>
            </w:r>
            <w:r>
              <w:rPr>
                <w:rFonts w:ascii="Calibri" w:hAnsi="Calibri"/>
                <w:color w:val="1E293B"/>
                <w:sz w:val="17"/>
              </w:rPr>
              <w:t xml:space="preserve"> (</w:t>
            </w:r>
            <w:hyperlink r:id="rId49">
              <w:r>
                <w:rPr>
                  <w:rFonts w:ascii="Calibri" w:hAnsi="Calibri"/>
                  <w:color w:val="B45309"/>
                  <w:u w:val="single"/>
                  <w:sz w:val="17"/>
                </w:rPr>
                <w:t>VON</w:t>
              </w:r>
            </w:hyperlink>
            <w:r>
              <w:rPr>
                <w:rFonts w:ascii="Calibri" w:hAnsi="Calibri"/>
                <w:color w:val="1E293B"/>
                <w:sz w:val="17"/>
              </w:rPr>
              <w: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Tier 3: On-Premises Institutional Appliances</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5,000+ ruggedised local AI appliances</w:t>
            </w:r>
            <w:r>
              <w:rPr>
                <w:rFonts w:ascii="Calibri" w:hAnsi="Calibri"/>
                <w:color w:val="1E293B"/>
                <w:sz w:val="17"/>
              </w:rPr>
              <w:t xml:space="preserve"> (1–8 GPUs or neural accelerators each, paired with 5–15 kW solar + lithium battery storage).</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Offline-resilient local inference and document caching in teaching hospitals, polytechnics, secondary schools, customs border posts, and large agro-cooperatives.</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NITDA Pooled Framework Contract</w:t>
            </w:r>
            <w:r>
              <w:rPr>
                <w:rFonts w:ascii="Calibri" w:hAnsi="Calibri"/>
                <w:color w:val="1E293B"/>
                <w:sz w:val="17"/>
              </w:rPr>
              <w:t xml:space="preserve"> with reserved market share for Nigerian server assemblers and local system integrators.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Tier 4: Citizen &amp; Field Device Endpoints</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100M+ daily active users</w:t>
            </w:r>
            <w:r>
              <w:rPr>
                <w:rFonts w:ascii="Calibri" w:hAnsi="Calibri"/>
                <w:color w:val="1E293B"/>
                <w:sz w:val="17"/>
              </w:rPr>
              <w:t xml:space="preserve"> (including 30M social-service users and 5M+ smallholder farmers/SMEs).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Zero-rated WhatsApp bots, interactive voice notes in Yoruba/Hausa/Igbo/Pidgin, USSD menus, and quantised on-device models (1B–3B parameters) on affordable smartphones.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Mobile Network Operators (</w:t>
            </w:r>
            <w:r>
              <w:rPr>
                <w:rFonts w:ascii="Calibri" w:hAnsi="Calibri"/>
                <w:b/>
                <w:color w:val="1E293B"/>
                <w:sz w:val="17"/>
              </w:rPr>
              <w:t>MTN, Airtel, Glo, 9mobile</w:t>
            </w:r>
            <w:r>
              <w:rPr>
                <w:rFonts w:ascii="Calibri" w:hAnsi="Calibri"/>
                <w:color w:val="1E293B"/>
                <w:sz w:val="17"/>
              </w:rPr>
              <w:t xml:space="preserve">) zero-rated public-interest agreements + </w:t>
            </w:r>
            <w:r>
              <w:rPr>
                <w:rFonts w:ascii="Calibri" w:hAnsi="Calibri"/>
                <w:b/>
                <w:color w:val="1E293B"/>
                <w:sz w:val="17"/>
              </w:rPr>
              <w:t>Naira Compute Vouchers</w:t>
            </w:r>
            <w:r>
              <w:rPr>
                <w:rFonts w:ascii="Calibri" w:hAnsi="Calibri"/>
                <w:color w:val="1E293B"/>
                <w:sz w:val="17"/>
              </w:rPr>
              <w:t>.</w:t>
            </w:r>
          </w:p>
        </w:tc>
      </w:tr>
    </w:tbl>
    <w:p>
      <w:pPr>
        <w:spacing w:before="0" w:after="120"/>
      </w:pPr>
    </w:p>
    <w:p>
      <w:pPr>
        <w:spacing w:before="60" w:after="120" w:line="276" w:lineRule="auto"/>
      </w:pPr>
      <w:r>
        <w:rPr>
          <w:rFonts w:ascii="Calibri" w:hAnsi="Calibri"/>
          <w:b/>
          <w:color w:val="1E293B"/>
          <w:sz w:val="21"/>
        </w:rPr>
        <w:t>The National Compute Exchange.</w:t>
      </w:r>
      <w:r>
        <w:rPr>
          <w:rFonts w:ascii="Calibri" w:hAnsi="Calibri"/>
          <w:color w:val="1E293B"/>
          <w:sz w:val="21"/>
        </w:rPr>
        <w:t xml:space="preserve"> Built on open interoperability standards, the Exchange connects all four tiers. Any certified private data centre, university cluster, bank server room, or state node with idle night-time GPU capacity can publish available slots to the Exchange and earn naira settlements. Conversely, public agencies, SMEs, and university researchers redeem </w:t>
      </w:r>
      <w:r>
        <w:rPr>
          <w:rFonts w:ascii="Calibri" w:hAnsi="Calibri"/>
          <w:b/>
          <w:color w:val="1E293B"/>
          <w:sz w:val="21"/>
        </w:rPr>
        <w:t>Naira Compute Vouchers</w:t>
      </w:r>
      <w:r>
        <w:rPr>
          <w:rFonts w:ascii="Calibri" w:hAnsi="Calibri"/>
          <w:color w:val="1E293B"/>
          <w:sz w:val="21"/>
        </w:rPr>
        <w:t xml:space="preserve"> on the Exchange—patterned on the IndiaAI Mission's subsidised compute voucher model (~Rs 100 / ~$1.20 per GPU-hour) (</w:t>
      </w:r>
      <w:hyperlink r:id="rId52">
        <w:r>
          <w:rPr>
            <w:rFonts w:ascii="Calibri" w:hAnsi="Calibri"/>
            <w:color w:val="B45309"/>
            <w:u w:val="single"/>
            <w:sz w:val="21"/>
          </w:rPr>
          <w:t>Communications Today</w:t>
        </w:r>
      </w:hyperlink>
      <w:r>
        <w:rPr>
          <w:rFonts w:ascii="Calibri" w:hAnsi="Calibri"/>
          <w:color w:val="1E293B"/>
          <w:sz w:val="21"/>
        </w:rPr>
        <w:t>)—which automatically routes each job to the lowest-cost tier that satisfies its latency and data-residency classification.</w:t>
      </w:r>
    </w:p>
    <w:p>
      <w:pPr>
        <w:keepNext/>
        <w:spacing w:before="220" w:after="80"/>
      </w:pPr>
      <w:r>
        <w:rPr>
          <w:rFonts w:ascii="Calibri" w:hAnsi="Calibri"/>
          <w:b/>
          <w:color w:val="B45309"/>
          <w:sz w:val="23"/>
        </w:rPr>
        <w:t>Table 9: The Six Infrastructure and Access Pillars (Reconciled from the Policy Brief)</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Access Pillar</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Policy Mechanism &amp; Operational Rule</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Deployment Phase</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Pillar 1: Pooled Public Token &amp; Compute Procurement</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Aggregate federal and state MDA compute demand into a single bulk framework contract executed by the </w:t>
            </w:r>
            <w:r>
              <w:rPr>
                <w:rFonts w:ascii="Calibri" w:hAnsi="Calibri"/>
                <w:b/>
                <w:color w:val="1E293B"/>
                <w:sz w:val="17"/>
              </w:rPr>
              <w:t>National AI Trust</w:t>
            </w:r>
            <w:r>
              <w:rPr>
                <w:rFonts w:ascii="Calibri" w:hAnsi="Calibri"/>
                <w:color w:val="1E293B"/>
                <w:sz w:val="17"/>
              </w:rPr>
              <w:t xml:space="preserve"> through </w:t>
            </w:r>
            <w:r>
              <w:rPr>
                <w:rFonts w:ascii="Calibri" w:hAnsi="Calibri"/>
                <w:b/>
                <w:color w:val="1E293B"/>
                <w:sz w:val="17"/>
              </w:rPr>
              <w:t>NITDA's NGN 10M+ clearance route</w:t>
            </w:r>
            <w:r>
              <w:rPr>
                <w:rFonts w:ascii="Calibri" w:hAnsi="Calibri"/>
                <w:color w:val="1E293B"/>
                <w:sz w:val="17"/>
              </w:rPr>
              <w:t xml:space="preserve"> (</w:t>
            </w:r>
            <w:hyperlink r:id="rId47">
              <w:r>
                <w:rPr>
                  <w:rFonts w:ascii="Calibri" w:hAnsi="Calibri"/>
                  <w:color w:val="B45309"/>
                  <w:u w:val="single"/>
                  <w:sz w:val="17"/>
                </w:rPr>
                <w:t>Digital Policy Alert</w:t>
              </w:r>
            </w:hyperlink>
            <w:r>
              <w:rPr>
                <w:rFonts w:ascii="Calibri" w:hAnsi="Calibri"/>
                <w:color w:val="1E293B"/>
                <w:sz w:val="17"/>
              </w:rPr>
              <w:t>), securing 25%–40% volume discounts.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Immediate (Phase 1 — Inside Pilots)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Pillar 2: Onshore Hosting &amp; Naira Billing Mandate</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Require all public-interest AI services and government contractors to host workloads in certified Nigerian facilities (Kasi, MTN, Airtel, Rack Centre, Cassava, OADC) and settle bills in </w:t>
            </w:r>
            <w:r>
              <w:rPr>
                <w:rFonts w:ascii="Calibri" w:hAnsi="Calibri"/>
                <w:b/>
                <w:color w:val="1E293B"/>
                <w:sz w:val="17"/>
              </w:rPr>
              <w:t>Naira</w:t>
            </w:r>
            <w:r>
              <w:rPr>
                <w:rFonts w:ascii="Calibri" w:hAnsi="Calibri"/>
                <w:color w:val="1E293B"/>
                <w:sz w:val="17"/>
              </w:rPr>
              <w:t xml:space="preserve"> wherever domestic capacity exists.</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Phase 1 Policy / Phase 2 Enforcement</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Pillar 3: Zero-Rated Last-Mile Channels (WhatsApp, Voice, SMS)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Negotiate public-interest zero-rating compacts with MNOs (leveraging Universal Service Provision Fund [USPF] co-support) so farmers, students, and patients access verified public AI assistants over WhatsApp, voice notes, and USSD without mobile data charges.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Immediate (Phase 1 — Inside Pilots)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Pillar 4: National Tokenizer Audit &amp; Open-Weight `Nemotron` Adaptation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Commission an immediate token-cost audit across Yoruba, Hausa, Igbo, and Nigerian Pidgin; use </w:t>
            </w:r>
            <w:r>
              <w:rPr>
                <w:rFonts w:ascii="Calibri" w:hAnsi="Calibri"/>
                <w:b/>
                <w:color w:val="1E293B"/>
                <w:sz w:val="17"/>
              </w:rPr>
              <w:t>NVIDIA `Nemotron` open weights, training datasets, and fine-tuning recipes</w:t>
            </w:r>
            <w:r>
              <w:rPr>
                <w:rFonts w:ascii="Calibri" w:hAnsi="Calibri"/>
                <w:color w:val="1E293B"/>
                <w:sz w:val="17"/>
              </w:rPr>
              <w:t xml:space="preserve"> (deployed on Cassava's </w:t>
            </w:r>
            <w:r>
              <w:rPr>
                <w:rFonts w:ascii="Consolas" w:hAnsi="Consolas"/>
                <w:b/>
                <w:color w:val="0A3D1F"/>
                <w:sz w:val="16"/>
              </w:rPr>
              <w:t>CAIMEx</w:t>
            </w:r>
            <w:r>
              <w:rPr>
                <w:rFonts w:ascii="Calibri" w:hAnsi="Calibri"/>
                <w:color w:val="1E293B"/>
                <w:sz w:val="17"/>
              </w:rPr>
              <w:t xml:space="preserve"> platform on 21 Oct 2026 (</w:t>
            </w:r>
            <w:hyperlink r:id="rId24">
              <w:r>
                <w:rPr>
                  <w:rFonts w:ascii="Calibri" w:hAnsi="Calibri"/>
                  <w:color w:val="B45309"/>
                  <w:u w:val="single"/>
                  <w:sz w:val="17"/>
                </w:rPr>
                <w:t>Cassava Technologies</w:t>
              </w:r>
            </w:hyperlink>
            <w:r>
              <w:rPr>
                <w:rFonts w:ascii="Calibri" w:hAnsi="Calibri"/>
                <w:color w:val="1E293B"/>
                <w:sz w:val="17"/>
              </w:rPr>
              <w:t xml:space="preserve">; </w:t>
            </w:r>
            <w:hyperlink r:id="rId25">
              <w:r>
                <w:rPr>
                  <w:rFonts w:ascii="Calibri" w:hAnsi="Calibri"/>
                  <w:color w:val="B45309"/>
                  <w:u w:val="single"/>
                  <w:sz w:val="17"/>
                </w:rPr>
                <w:t>Tech.Africa</w:t>
              </w:r>
            </w:hyperlink>
            <w:r>
              <w:rPr>
                <w:rFonts w:ascii="Calibri" w:hAnsi="Calibri"/>
                <w:color w:val="1E293B"/>
                <w:sz w:val="17"/>
              </w:rPr>
              <w:t>)) alongside Llama/Qwen to eliminate the 1.88x–8.92x language token tax (</w:t>
            </w:r>
            <w:hyperlink r:id="rId14">
              <w:r>
                <w:rPr>
                  <w:rFonts w:ascii="Calibri" w:hAnsi="Calibri"/>
                  <w:color w:val="B45309"/>
                  <w:u w:val="single"/>
                  <w:sz w:val="17"/>
                </w:rPr>
                <w:t>arXiv 2606.24460</w:t>
              </w:r>
            </w:hyperlink>
            <w:r>
              <w:rPr>
                <w:rFonts w:ascii="Calibri" w:hAnsi="Calibri"/>
                <w:color w:val="1E293B"/>
                <w:sz w:val="17"/>
              </w:rPr>
              <w:t>).</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Immediate (Phase 1 Audit &amp; Nemotron Fine-Tuning)</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Pillar 5: `CAIMEx Token Optimiser`, Model Routing &amp; Distillation</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Mandate semantic token deduplication—adopting middleware such as the </w:t>
            </w:r>
            <w:r>
              <w:rPr>
                <w:rFonts w:ascii="Calibri" w:hAnsi="Calibri"/>
                <w:b/>
                <w:color w:val="1E293B"/>
                <w:sz w:val="17"/>
              </w:rPr>
              <w:t>Cassava `CAIMEx Token Optimiser`</w:t>
            </w:r>
            <w:r>
              <w:rPr>
                <w:rFonts w:ascii="Calibri" w:hAnsi="Calibri"/>
                <w:color w:val="1E293B"/>
                <w:sz w:val="17"/>
              </w:rPr>
              <w:t>, which identifies already-processed context and reuses it across both local and third-party models (</w:t>
            </w:r>
            <w:hyperlink r:id="rId33">
              <w:r>
                <w:rPr>
                  <w:rFonts w:ascii="Calibri" w:hAnsi="Calibri"/>
                  <w:color w:val="B45309"/>
                  <w:u w:val="single"/>
                  <w:sz w:val="17"/>
                </w:rPr>
                <w:t>Cassava AI</w:t>
              </w:r>
            </w:hyperlink>
            <w:r>
              <w:rPr>
                <w:rFonts w:ascii="Calibri" w:hAnsi="Calibri"/>
                <w:color w:val="1E293B"/>
                <w:sz w:val="17"/>
              </w:rPr>
              <w:t>)—paired with tiered model routing and distillation into compact 3B–14B local models.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Immediate (Phase 1 — Inside Pilots)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Pillar 6: Public Impact-per-Token Scorecard &amp; Tax Incentives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Publish quarterly </w:t>
            </w:r>
            <w:r>
              <w:rPr>
                <w:rFonts w:ascii="Calibri" w:hAnsi="Calibri"/>
                <w:b/>
                <w:color w:val="1E293B"/>
                <w:sz w:val="17"/>
              </w:rPr>
              <w:t>Cost per Verified Resolution</w:t>
            </w:r>
            <w:r>
              <w:rPr>
                <w:rFonts w:ascii="Calibri" w:hAnsi="Calibri"/>
                <w:color w:val="1E293B"/>
                <w:sz w:val="17"/>
              </w:rPr>
              <w:t xml:space="preserve"> and state-level </w:t>
            </w:r>
            <w:r>
              <w:rPr>
                <w:rFonts w:ascii="Calibri" w:hAnsi="Calibri"/>
                <w:b/>
                <w:color w:val="1E293B"/>
                <w:sz w:val="17"/>
              </w:rPr>
              <w:t>AI Compute per 1,000 Citizens</w:t>
            </w:r>
            <w:r>
              <w:rPr>
                <w:rFonts w:ascii="Calibri" w:hAnsi="Calibri"/>
                <w:color w:val="1E293B"/>
                <w:sz w:val="17"/>
              </w:rPr>
              <w:t xml:space="preserve"> on the Public Ledger; grant </w:t>
            </w:r>
            <w:r>
              <w:rPr>
                <w:rFonts w:ascii="Calibri" w:hAnsi="Calibri"/>
                <w:b/>
                <w:color w:val="1E293B"/>
                <w:sz w:val="17"/>
              </w:rPr>
              <w:t>Economic Development Incentive (EDI)</w:t>
            </w:r>
            <w:r>
              <w:rPr>
                <w:rFonts w:ascii="Calibri" w:hAnsi="Calibri"/>
                <w:color w:val="1E293B"/>
                <w:sz w:val="17"/>
              </w:rPr>
              <w:t xml:space="preserve"> tax relief (which replaced pioneer status under the 2025 Tax Reform Act (</w:t>
            </w:r>
            <w:hyperlink r:id="rId60">
              <w:r>
                <w:rPr>
                  <w:rFonts w:ascii="Calibri" w:hAnsi="Calibri"/>
                  <w:color w:val="B45309"/>
                  <w:u w:val="single"/>
                  <w:sz w:val="17"/>
                </w:rPr>
                <w:t>PwC</w:t>
              </w:r>
            </w:hyperlink>
            <w:r>
              <w:rPr>
                <w:rFonts w:ascii="Calibri" w:hAnsi="Calibri"/>
                <w:color w:val="1E293B"/>
                <w:sz w:val="17"/>
              </w:rPr>
              <w:t>)) and zero customs duty for edge/on-premises AI hardware.</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Immediate (Phase 1 — Ledger Live)</w:t>
            </w:r>
          </w:p>
        </w:tc>
      </w:tr>
    </w:tbl>
    <w:p>
      <w:pPr>
        <w:spacing w:before="0" w:after="120"/>
      </w:pPr>
    </w:p>
    <w:p>
      <w:pPr>
        <w:keepNext/>
        <w:spacing w:before="320" w:after="120"/>
        <w:pBdr>
          <w:bottom w:val="single" w:sz="12" w:space="4" w:color="B45309"/>
        </w:pBdr>
      </w:pPr>
      <w:r>
        <w:rPr>
          <w:rFonts w:ascii="Calibri" w:hAnsi="Calibri"/>
          <w:b/>
          <w:color w:val="0A3D1F"/>
          <w:sz w:val="29"/>
        </w:rPr>
        <w:t>9. Return on tokens: two-stage anti-gaming allocation and the quantified priority portfolio</w:t>
      </w:r>
    </w:p>
    <w:p>
      <w:pPr>
        <w:keepNext/>
        <w:spacing w:before="220" w:after="80"/>
      </w:pPr>
      <w:r>
        <w:rPr>
          <w:rFonts w:ascii="Calibri" w:hAnsi="Calibri"/>
          <w:b/>
          <w:color w:val="0A3D1F"/>
          <w:sz w:val="23"/>
        </w:rPr>
        <w:t>9.1 The unified Return-on-Tokens allocation formula</w:t>
      </w:r>
    </w:p>
    <w:p>
      <w:pPr>
        <w:spacing w:before="60" w:after="120" w:line="276" w:lineRule="auto"/>
      </w:pPr>
      <w:r>
        <w:rPr>
          <w:rFonts w:ascii="Calibri" w:hAnsi="Calibri"/>
          <w:color w:val="1E293B"/>
          <w:sz w:val="21"/>
        </w:rPr>
        <w:t xml:space="preserve">Owning sovereign GPUs does not guarantee economic transformation; the return comes from what those GPUs are spent on. This strategy reserves </w:t>
      </w:r>
      <w:r>
        <w:rPr>
          <w:rFonts w:ascii="Calibri" w:hAnsi="Calibri"/>
          <w:b/>
          <w:color w:val="1E293B"/>
          <w:sz w:val="21"/>
        </w:rPr>
        <w:t>20% of national Energy-Compute Zone capacity</w:t>
      </w:r>
      <w:r>
        <w:rPr>
          <w:rFonts w:ascii="Calibri" w:hAnsi="Calibri"/>
          <w:color w:val="1E293B"/>
          <w:sz w:val="21"/>
        </w:rPr>
        <w:t xml:space="preserve"> for a high-impact </w:t>
      </w:r>
      <w:r>
        <w:rPr>
          <w:rFonts w:ascii="Calibri" w:hAnsi="Calibri"/>
          <w:b/>
          <w:color w:val="1E293B"/>
          <w:sz w:val="21"/>
        </w:rPr>
        <w:t>Priority Portfolio</w:t>
      </w:r>
      <w:r>
        <w:rPr>
          <w:rFonts w:ascii="Calibri" w:hAnsi="Calibri"/>
          <w:color w:val="1E293B"/>
          <w:sz w:val="21"/>
        </w:rPr>
        <w:t xml:space="preserve"> and allocates that compute strictly by measured </w:t>
      </w:r>
      <w:r>
        <w:rPr>
          <w:rFonts w:ascii="Calibri" w:hAnsi="Calibri"/>
          <w:b/>
          <w:color w:val="1E293B"/>
          <w:sz w:val="21"/>
        </w:rPr>
        <w:t>Return on Tokens</w:t>
      </w:r>
      <w:r>
        <w:rPr>
          <w:rFonts w:ascii="Calibri" w:hAnsi="Calibri"/>
          <w:color w:val="1E293B"/>
          <w:sz w:val="21"/>
        </w:rPr>
        <w:t>, rebalanced every quarter.</w:t>
      </w:r>
    </w:p>
    <w:p>
      <w:pPr>
        <w:spacing w:before="60" w:after="120" w:line="276" w:lineRule="auto"/>
      </w:pPr>
      <w:r>
        <w:rPr>
          <w:rFonts w:ascii="Calibri" w:hAnsi="Calibri"/>
          <w:color w:val="1E293B"/>
          <w:sz w:val="21"/>
        </w:rPr>
        <w:t>Combining the macro allocation equation of the Strategy Paper with the micro project-screening test of the Policy Brief yields a unified two-step prioritisation framework:</w:t>
      </w:r>
    </w:p>
    <w:p>
      <w:pPr>
        <w:spacing w:before="50" w:after="70"/>
        <w:ind w:left="360" w:hanging="360"/>
      </w:pPr>
      <w:r>
        <w:rPr>
          <w:rFonts w:ascii="Calibri" w:hAnsi="Calibri"/>
          <w:b/>
          <w:color w:val="0A3D1F"/>
          <w:sz w:val="20"/>
        </w:rPr>
        <w:t xml:space="preserve">1. </w:t>
      </w:r>
      <w:r>
        <w:rPr>
          <w:rFonts w:ascii="Calibri" w:hAnsi="Calibri"/>
          <w:b/>
          <w:color w:val="1E293B"/>
          <w:sz w:val="20"/>
        </w:rPr>
        <w:t>Candidate Screening Score (Ex-Ante Selection Test):</w:t>
      </w:r>
    </w:p>
    <w:tbl>
      <w:tblPr>
        <w:tblW w:type="auto" w:w="0"/>
        <w:jc w:val="center"/>
        <w:tblLook w:firstColumn="1" w:firstRow="1" w:lastColumn="0" w:lastRow="0" w:noHBand="0" w:noVBand="1" w:val="04A0"/>
      </w:tblPr>
      <w:tblGrid>
        <w:gridCol w:w="10080"/>
      </w:tblGrid>
      <w:tr>
        <w:tc>
          <w:tcPr>
            <w:tcW w:type="dxa" w:w="10080"/>
            <w:shd w:fill="FEF3C7"/>
            <w:tcMar>
              <w:top w:w="140" w:type="dxa"/>
              <w:bottom w:w="140" w:type="dxa"/>
              <w:left w:w="200" w:type="dxa"/>
              <w:right w:w="180" w:type="dxa"/>
            </w:tcMar>
            <w:tcBorders>
              <w:left w:val="single" w:sz="24" w:space="0" w:color="B45309"/>
              <w:top w:val="single" w:sz="4" w:space="0" w:color="E2E8F0"/>
              <w:right w:val="single" w:sz="4" w:space="0" w:color="E2E8F0"/>
              <w:bottom w:val="single" w:sz="4" w:space="0" w:color="E2E8F0"/>
            </w:tcBorders>
          </w:tcPr>
          <w:p>
            <w:pPr>
              <w:spacing w:before="40" w:after="80"/>
            </w:pPr>
            <w:r>
              <w:rPr>
                <w:rFonts w:ascii="Calibri" w:hAnsi="Calibri"/>
                <w:b/>
                <w:color w:val="0A3D1F"/>
                <w:sz w:val="21"/>
              </w:rPr>
              <w:t>ALLOCATION FORMULA</w:t>
            </w:r>
          </w:p>
          <w:p>
            <w:pPr>
              <w:spacing w:before="40" w:after="40"/>
            </w:pPr>
            <w:r>
              <w:rPr>
                <w:rFonts w:ascii="Calibri" w:hAnsi="Calibri"/>
                <w:b/>
                <w:color w:val="1E293B"/>
                <w:sz w:val="19"/>
              </w:rPr>
              <w:t>Candidate Priority Score = (Target Population × Information Share of Bottleneck  (0–1) × Economic/Fiscal Value per Resolved Case)  ÷  (Token Cost per Case + Last-Mile Delivery Cost per Case</w:t>
            </w:r>
          </w:p>
        </w:tc>
      </w:tr>
    </w:tbl>
    <w:p>
      <w:pPr>
        <w:spacing w:before="0" w:after="80"/>
      </w:pPr>
    </w:p>
    <w:p>
      <w:pPr>
        <w:spacing w:before="60" w:after="120" w:line="276" w:lineRule="auto"/>
      </w:pPr>
      <w:r>
        <w:rPr>
          <w:rFonts w:ascii="Calibri" w:hAnsi="Calibri"/>
          <w:color w:val="1E293B"/>
          <w:sz w:val="21"/>
        </w:rPr>
        <w:t xml:space="preserve">This equation explains why early public tokens must target </w:t>
      </w:r>
      <w:r>
        <w:rPr>
          <w:rFonts w:ascii="Calibri" w:hAnsi="Calibri"/>
          <w:b/>
          <w:color w:val="1E293B"/>
          <w:sz w:val="21"/>
        </w:rPr>
        <w:t>information bottlenecks</w:t>
      </w:r>
      <w:r>
        <w:rPr>
          <w:rFonts w:ascii="Calibri" w:hAnsi="Calibri"/>
          <w:color w:val="1E293B"/>
          <w:sz w:val="21"/>
        </w:rPr>
        <w:t>—such as export compliance rules, pest identification, customs HS-code classification, clinical triage protocols, and tax filing—where the informational share of the problem approaches 0.7–0.9 and the marginal token cost is fractions of a naira, rather than purely physical deficits (such as unpaved rural roads) that tokens alone cannot fix.</w:t>
      </w:r>
    </w:p>
    <w:p>
      <w:pPr>
        <w:spacing w:before="50" w:after="70"/>
        <w:ind w:left="360" w:hanging="360"/>
      </w:pPr>
      <w:r>
        <w:rPr>
          <w:rFonts w:ascii="Calibri" w:hAnsi="Calibri"/>
          <w:b/>
          <w:color w:val="0A3D1F"/>
          <w:sz w:val="20"/>
        </w:rPr>
        <w:t xml:space="preserve">2. </w:t>
      </w:r>
      <w:r>
        <w:rPr>
          <w:rFonts w:ascii="Calibri" w:hAnsi="Calibri"/>
          <w:b/>
          <w:color w:val="1E293B"/>
          <w:sz w:val="20"/>
        </w:rPr>
        <w:t>Portfolio Allocation Score (Ex-Post Capital Rebalancing Test):</w:t>
      </w:r>
    </w:p>
    <w:tbl>
      <w:tblPr>
        <w:tblW w:type="auto" w:w="0"/>
        <w:jc w:val="center"/>
        <w:tblLook w:firstColumn="1" w:firstRow="1" w:lastColumn="0" w:lastRow="0" w:noHBand="0" w:noVBand="1" w:val="04A0"/>
      </w:tblPr>
      <w:tblGrid>
        <w:gridCol w:w="10080"/>
      </w:tblGrid>
      <w:tr>
        <w:tc>
          <w:tcPr>
            <w:tcW w:type="dxa" w:w="10080"/>
            <w:shd w:fill="FEF3C7"/>
            <w:tcMar>
              <w:top w:w="140" w:type="dxa"/>
              <w:bottom w:w="140" w:type="dxa"/>
              <w:left w:w="200" w:type="dxa"/>
              <w:right w:w="180" w:type="dxa"/>
            </w:tcMar>
            <w:tcBorders>
              <w:left w:val="single" w:sz="24" w:space="0" w:color="B45309"/>
              <w:top w:val="single" w:sz="4" w:space="0" w:color="E2E8F0"/>
              <w:right w:val="single" w:sz="4" w:space="0" w:color="E2E8F0"/>
              <w:bottom w:val="single" w:sz="4" w:space="0" w:color="E2E8F0"/>
            </w:tcBorders>
          </w:tcPr>
          <w:p>
            <w:pPr>
              <w:spacing w:before="40" w:after="80"/>
            </w:pPr>
            <w:r>
              <w:rPr>
                <w:rFonts w:ascii="Calibri" w:hAnsi="Calibri"/>
                <w:b/>
                <w:color w:val="0A3D1F"/>
                <w:sz w:val="21"/>
              </w:rPr>
              <w:t>ALLOCATION FORMULA</w:t>
            </w:r>
          </w:p>
          <w:p>
            <w:pPr>
              <w:spacing w:before="40" w:after="40"/>
            </w:pPr>
            <w:r>
              <w:rPr>
                <w:rFonts w:ascii="Calibri" w:hAnsi="Calibri"/>
                <w:b/>
                <w:color w:val="1E293B"/>
                <w:sz w:val="19"/>
              </w:rPr>
              <w:t>Return on Tokens (RoT) = (Verified Development Value Created Within the Window (Discounted Naira / USD))  ÷  (Total Token Compute Cost + Last-Mile Delivery Cost + Workflow Integration Cost</w:t>
            </w:r>
          </w:p>
        </w:tc>
      </w:tr>
    </w:tbl>
    <w:p>
      <w:pPr>
        <w:spacing w:before="0" w:after="80"/>
      </w:pPr>
    </w:p>
    <w:p>
      <w:pPr>
        <w:spacing w:before="60" w:after="120" w:line="276" w:lineRule="auto"/>
      </w:pPr>
      <w:r>
        <w:rPr>
          <w:rFonts w:ascii="Calibri" w:hAnsi="Calibri"/>
          <w:color w:val="1E293B"/>
          <w:sz w:val="21"/>
        </w:rPr>
        <w:t>As dedicated gas power ($0.04–$0.06/kWh), Nigerian-language tokenizers, and semantic caching come online, the denominator of this equation drops sharply—automatically raising the Return on Tokens of every public and SME service across the economy.</w:t>
      </w:r>
    </w:p>
    <w:p>
      <w:pPr>
        <w:keepNext/>
        <w:spacing w:before="220" w:after="80"/>
      </w:pPr>
      <w:r>
        <w:rPr>
          <w:rFonts w:ascii="Calibri" w:hAnsi="Calibri"/>
          <w:b/>
          <w:color w:val="0A3D1F"/>
          <w:sz w:val="23"/>
        </w:rPr>
        <w:t>9.2 Defeating Goodhart's Law: the two-stage anti-gaming measurement gate</w:t>
      </w:r>
    </w:p>
    <w:p>
      <w:pPr>
        <w:spacing w:before="60" w:after="120" w:line="276" w:lineRule="auto"/>
      </w:pPr>
      <w:r>
        <w:rPr>
          <w:rFonts w:ascii="Calibri" w:hAnsi="Calibri"/>
          <w:color w:val="1E293B"/>
          <w:sz w:val="21"/>
        </w:rPr>
        <w:t xml:space="preserve">A classic vulnerability of public-sector performance formulas is </w:t>
      </w:r>
      <w:r>
        <w:rPr>
          <w:rFonts w:ascii="Calibri" w:hAnsi="Calibri"/>
          <w:b/>
          <w:color w:val="1E293B"/>
          <w:sz w:val="21"/>
        </w:rPr>
        <w:t>Goodhart's Law</w:t>
      </w:r>
      <w:r>
        <w:rPr>
          <w:rFonts w:ascii="Calibri" w:hAnsi="Calibri"/>
          <w:color w:val="1E293B"/>
          <w:sz w:val="21"/>
        </w:rPr>
        <w:t>: when a measure becomes a target, agencies game it. If compute allocation were tied to raw token consumption, query volume, or self-reported user counts, ministries would deploy verbose chatbots that burn millions of tokens generating unhelpful text.</w:t>
      </w:r>
    </w:p>
    <w:p>
      <w:pPr>
        <w:spacing w:before="60" w:after="120" w:line="276" w:lineRule="auto"/>
      </w:pPr>
      <w:r>
        <w:rPr>
          <w:rFonts w:ascii="Calibri" w:hAnsi="Calibri"/>
          <w:color w:val="1E293B"/>
          <w:sz w:val="21"/>
        </w:rPr>
        <w:t xml:space="preserve">To make Return on Tokens manipulation-proof, every project in the Priority Portfolio must pass a </w:t>
      </w:r>
      <w:r>
        <w:rPr>
          <w:rFonts w:ascii="Calibri" w:hAnsi="Calibri"/>
          <w:b/>
          <w:color w:val="1E293B"/>
          <w:sz w:val="21"/>
        </w:rPr>
        <w:t>Two-Stage Anti-Gaming Gate</w:t>
      </w:r>
      <w:r>
        <w:rPr>
          <w:rFonts w:ascii="Calibri" w:hAnsi="Calibri"/>
          <w:color w:val="1E293B"/>
          <w:sz w:val="21"/>
        </w:rPr>
        <w:t xml:space="preserve"> audited on the Public Ledger:</w:t>
      </w:r>
    </w:p>
    <w:p>
      <w:pPr>
        <w:pStyle w:val="ListBullet"/>
        <w:spacing w:before="40" w:after="60"/>
      </w:pPr>
      <w:r>
        <w:rPr>
          <w:rFonts w:ascii="Calibri" w:hAnsi="Calibri"/>
          <w:b/>
          <w:color w:val="1E293B"/>
          <w:sz w:val="20"/>
        </w:rPr>
        <w:t>Stage 1: Quarterly Operational Gate — Audited Cost per Verified Resolution (in Naira).</w:t>
      </w:r>
    </w:p>
    <w:p>
      <w:pPr>
        <w:spacing w:before="60" w:after="120" w:line="276" w:lineRule="auto"/>
      </w:pPr>
      <w:r>
        <w:rPr>
          <w:rFonts w:ascii="Calibri" w:hAnsi="Calibri"/>
          <w:color w:val="1E293B"/>
          <w:sz w:val="21"/>
        </w:rPr>
        <w:t xml:space="preserve">Every quarter, each funded project is evaluated not on how many messages it sent, but on its </w:t>
      </w:r>
      <w:r>
        <w:rPr>
          <w:rFonts w:ascii="Calibri" w:hAnsi="Calibri"/>
          <w:b/>
          <w:color w:val="1E293B"/>
          <w:sz w:val="21"/>
        </w:rPr>
        <w:t>Cost per Verified Resolution (NGN)</w:t>
      </w:r>
      <w:r>
        <w:rPr>
          <w:rFonts w:ascii="Calibri" w:hAnsi="Calibri"/>
          <w:color w:val="1E293B"/>
          <w:sz w:val="21"/>
        </w:rPr>
        <w:t xml:space="preserve">—defined as a user interaction that successfully completes a verified workflow step AND passes quality checks under (a) automated LLM-as-a-judge evaluation rubrics and (b) a </w:t>
      </w:r>
      <w:r>
        <w:rPr>
          <w:rFonts w:ascii="Calibri" w:hAnsi="Calibri"/>
          <w:b/>
          <w:color w:val="1E293B"/>
          <w:sz w:val="21"/>
        </w:rPr>
        <w:t>5% weekly random sample audited blind by human domain experts</w:t>
      </w:r>
      <w:r>
        <w:rPr>
          <w:rFonts w:ascii="Calibri" w:hAnsi="Calibri"/>
          <w:color w:val="1E293B"/>
          <w:sz w:val="21"/>
        </w:rPr>
        <w:t xml:space="preserve"> (such as agricultural extension officers, customs brokers, or senior clinicians). Any project whose accuracy falls below its safety threshold or whose unit cost per verified resolution exceeds its baseline for two consecutive quarters is automatically flagged on the Public Ledger for compute reduction or sunset.</w:t>
      </w:r>
    </w:p>
    <w:p>
      <w:pPr>
        <w:pStyle w:val="ListBullet"/>
        <w:spacing w:before="40" w:after="60"/>
      </w:pPr>
      <w:r>
        <w:rPr>
          <w:rFonts w:ascii="Calibri" w:hAnsi="Calibri"/>
          <w:b/>
          <w:color w:val="1E293B"/>
          <w:sz w:val="20"/>
        </w:rPr>
        <w:t>Stage 2: Semi-Annual Outcome Gate — Machine-Verifiable Oracle Impact.</w:t>
      </w:r>
    </w:p>
    <w:p>
      <w:pPr>
        <w:spacing w:before="60" w:after="120" w:line="276" w:lineRule="auto"/>
      </w:pPr>
      <w:r>
        <w:rPr>
          <w:rFonts w:ascii="Calibri" w:hAnsi="Calibri"/>
          <w:color w:val="1E293B"/>
          <w:sz w:val="21"/>
        </w:rPr>
        <w:t xml:space="preserve">Every six months, continuing compute allocation requires verifiable movement on an external, hard-to-fake </w:t>
      </w:r>
      <w:r>
        <w:rPr>
          <w:rFonts w:ascii="Calibri" w:hAnsi="Calibri"/>
          <w:b/>
          <w:color w:val="1E293B"/>
          <w:sz w:val="21"/>
        </w:rPr>
        <w:t>real-world outcome metric (Oracle)</w:t>
      </w:r>
      <w:r>
        <w:rPr>
          <w:rFonts w:ascii="Calibri" w:hAnsi="Calibri"/>
          <w:color w:val="1E293B"/>
          <w:sz w:val="21"/>
        </w:rPr>
        <w:t xml:space="preserve"> linked to independent administrative or sensor datasets—such as the percentage of cocoa cooperative farm polygons passing satellite deforestation checks under the FMAFS–NASRDA framework, the reduction in NXP/customs document rejection rates at Apapa/Tin Can ports, or audited primary-clinic diagnostic concordance.</w:t>
      </w:r>
    </w:p>
    <w:p>
      <w:pPr>
        <w:keepNext/>
        <w:spacing w:before="220" w:after="80"/>
      </w:pPr>
      <w:r>
        <w:rPr>
          <w:rFonts w:ascii="Calibri" w:hAnsi="Calibri"/>
          <w:b/>
          <w:color w:val="0A3D1F"/>
          <w:sz w:val="23"/>
        </w:rPr>
        <w:t>9.3 The quantified priority portfolio (2026–2031)</w:t>
      </w:r>
    </w:p>
    <w:p>
      <w:pPr>
        <w:spacing w:before="60" w:after="120" w:line="276" w:lineRule="auto"/>
      </w:pPr>
      <w:r>
        <w:rPr>
          <w:rFonts w:ascii="Calibri" w:hAnsi="Calibri"/>
          <w:color w:val="1E293B"/>
          <w:sz w:val="21"/>
        </w:rPr>
        <w:t>The initial sovereign compute reserve is allocated across four macro buckets—</w:t>
      </w:r>
      <w:r>
        <w:rPr>
          <w:rFonts w:ascii="Calibri" w:hAnsi="Calibri"/>
          <w:b/>
          <w:color w:val="1E293B"/>
          <w:sz w:val="21"/>
        </w:rPr>
        <w:t>40% Productivity &amp; Non-Oil Exports, 25% Public &amp; Social Services, 20% Infrastructure Optimisation, and 15% Sovereign Capability &amp; Language R&amp;D</w:t>
      </w:r>
      <w:r>
        <w:rPr>
          <w:rFonts w:ascii="Calibri" w:hAnsi="Calibri"/>
          <w:color w:val="1E293B"/>
          <w:sz w:val="21"/>
        </w:rPr>
        <w:t>—and anchored in the seven quantified national programmes below:</w:t>
      </w:r>
    </w:p>
    <w:p>
      <w:pPr>
        <w:keepNext/>
        <w:spacing w:before="220" w:after="80"/>
      </w:pPr>
      <w:r>
        <w:rPr>
          <w:rFonts w:ascii="Calibri" w:hAnsi="Calibri"/>
          <w:b/>
          <w:color w:val="B45309"/>
          <w:sz w:val="23"/>
        </w:rPr>
        <w:t>Table 10: Quantified National Priority Portfolio for Sovereign Compute Allocation (Indicative 2026–2031 Estimates)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016"/>
        <w:gridCol w:w="2016"/>
        <w:gridCol w:w="2016"/>
        <w:gridCol w:w="2016"/>
        <w:gridCol w:w="2016"/>
      </w:tblGrid>
      <w:tr>
        <w:trPr>
          <w:tblHeader/>
          <w:cantSplit/>
        </w:trPr>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Priority Programme &amp; Allocation Share</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Target Population / Economic Base</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Indicative Annual Value at Stake (USD / NGN, Stated Assumptions)</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Stage-1 Operational Metric (Quarterly) &amp; Stage-2 Outcome Oracle (Semi-Annual)</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Lead Agencies &amp; Portfolio Link</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 Sovereign Ag-Traceability &amp; AI Export Advisory</w:t>
            </w:r>
            <w:r>
              <w:rPr>
                <w:rFonts w:ascii="Calibri" w:hAnsi="Calibri"/>
                <w:color w:val="1E293B"/>
                <w:sz w:val="17"/>
              </w:rPr>
              <w:t xml:space="preserve"> (Cocoa, Sesame, Cashew, Rubber, Soya) </w:t>
            </w:r>
            <w:r>
              <w:rPr>
                <w:rFonts w:ascii="Calibri" w:hAnsi="Calibri"/>
                <w:i/>
                <w:color w:val="1E293B"/>
                <w:sz w:val="17"/>
              </w:rPr>
              <w:t>(22% of Reserve)</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1.2M+ smallholder farmers</w:t>
            </w:r>
            <w:r>
              <w:rPr>
                <w:rFonts w:ascii="Calibri" w:hAnsi="Calibri"/>
                <w:color w:val="1E293B"/>
                <w:sz w:val="17"/>
              </w:rPr>
              <w:t xml:space="preserve"> &amp; 2,500+ cooperatives (starting with ~350,000 cocoa plots in Ondo, Osun, Cross River, Edo, Ogun).</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$1.5B – $2.4B/yr</w:t>
            </w:r>
            <w:r>
              <w:rPr>
                <w:rFonts w:ascii="Calibri" w:hAnsi="Calibri"/>
                <w:color w:val="1E293B"/>
                <w:sz w:val="17"/>
              </w:rPr>
              <w:t xml:space="preserve"> (~NGN 2.4T–3.8T) in protected EU export access + </w:t>
            </w:r>
            <w:r>
              <w:rPr>
                <w:rFonts w:ascii="Calibri" w:hAnsi="Calibri"/>
                <w:b/>
                <w:color w:val="1E293B"/>
                <w:sz w:val="17"/>
              </w:rPr>
              <w:t>5%–12% farm-gate price premium</w:t>
            </w:r>
            <w:r>
              <w:rPr>
                <w:rFonts w:ascii="Calibri" w:hAnsi="Calibri"/>
                <w:color w:val="1E293B"/>
                <w:sz w:val="17"/>
              </w:rPr>
              <w:t xml:space="preserve"> ($120M–$250M/yr incremental rural income). </w:t>
            </w:r>
            <w:r>
              <w:rPr>
                <w:rFonts w:ascii="Calibri" w:hAnsi="Calibri"/>
                <w:i/>
                <w:color w:val="1E293B"/>
                <w:sz w:val="17"/>
              </w:rPr>
              <w:t>(Based on $2.37B HS-18 cocoa &amp; $6.1B non-oil exports in 2025 [[NAN](https://nannews.ng/nigeria-non-oil-exports-hit-6-1bn-in-2025/)])</w:t>
            </w:r>
            <w:r>
              <w:rPr>
                <w:rFonts w:ascii="Calibri" w:hAnsi="Calibri"/>
                <w:color w:val="1E293B"/>
                <w:sz w:val="17"/>
              </w:rPr>
              <w:t>.</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NGN Cost per extension-verified agronomic/EUDR resolution (&lt;NGN 150 target).</w:t>
              <w:br/>
            </w:r>
            <w:r>
              <w:rPr>
                <w:rFonts w:ascii="Calibri" w:hAnsi="Calibri"/>
                <w:b/>
                <w:color w:val="1E293B"/>
                <w:sz w:val="17"/>
              </w:rPr>
              <w:t>Stage 2:</w:t>
            </w:r>
            <w:r>
              <w:rPr>
                <w:rFonts w:ascii="Calibri" w:hAnsi="Calibri"/>
                <w:color w:val="1E293B"/>
                <w:sz w:val="17"/>
              </w:rPr>
              <w:t xml:space="preserve"> % of cooperative plots passing NASRDA satellite polygon &amp; EUDR due-diligence verification.</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FMAFS, NASRDA, NEPC, NCMC</w:t>
            </w:r>
            <w:r>
              <w:rPr>
                <w:rFonts w:ascii="Calibri" w:hAnsi="Calibri"/>
                <w:color w:val="1E293B"/>
                <w:sz w:val="17"/>
              </w:rPr>
              <w:t xml:space="preserve"> </w:t>
            </w:r>
            <w:r>
              <w:rPr>
                <w:rFonts w:ascii="Calibri" w:hAnsi="Calibri"/>
                <w:i/>
                <w:color w:val="1E293B"/>
                <w:sz w:val="17"/>
              </w:rPr>
              <w:t>(See Annex A Pilot)</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2. AfCFTA Trade Flows Second Brain &amp; SME Export ClusterBots</w:t>
            </w:r>
            <w:r>
              <w:rPr>
                <w:rFonts w:ascii="Calibri" w:hAnsi="Calibri"/>
                <w:color w:val="1E293B"/>
                <w:sz w:val="17"/>
              </w:rPr>
              <w:t xml:space="preserve"> </w:t>
            </w:r>
            <w:r>
              <w:rPr>
                <w:rFonts w:ascii="Calibri" w:hAnsi="Calibri"/>
                <w:i/>
                <w:color w:val="1E293B"/>
                <w:sz w:val="17"/>
              </w:rPr>
              <w:t>(18% of Reserve)</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50,000+ Nigerian MSMEs</w:t>
            </w:r>
            <w:r>
              <w:rPr>
                <w:rFonts w:ascii="Calibri" w:hAnsi="Calibri"/>
                <w:color w:val="1E293B"/>
                <w:sz w:val="17"/>
              </w:rPr>
              <w:t xml:space="preserve"> across 280 exported products (starting with Top 20 non-oil exports across 37 destination markets).</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$400M – $850M/yr</w:t>
            </w:r>
            <w:r>
              <w:rPr>
                <w:rFonts w:ascii="Calibri" w:hAnsi="Calibri"/>
                <w:color w:val="1E293B"/>
                <w:sz w:val="17"/>
              </w:rPr>
              <w:t xml:space="preserve"> (~NGN 640B–1.36T) in incremental non-oil export volume + </w:t>
            </w:r>
            <w:r>
              <w:rPr>
                <w:rFonts w:ascii="Calibri" w:hAnsi="Calibri"/>
                <w:b/>
                <w:color w:val="1E293B"/>
                <w:sz w:val="17"/>
              </w:rPr>
              <w:t>30%–50% cut in compliance/documentation rejection costs</w:t>
            </w:r>
            <w:r>
              <w:rPr>
                <w:rFonts w:ascii="Calibri" w:hAnsi="Calibri"/>
                <w:color w:val="1E293B"/>
                <w:sz w:val="17"/>
              </w:rPr>
              <w:t xml:space="preserve"> toward NEPC's $9–10B South-West target.</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NGN Cost per completed export readiness &amp; pre-shipment compliance pack.</w:t>
              <w:br/>
            </w:r>
            <w:r>
              <w:rPr>
                <w:rFonts w:ascii="Calibri" w:hAnsi="Calibri"/>
                <w:b/>
                <w:color w:val="1E293B"/>
                <w:sz w:val="17"/>
              </w:rPr>
              <w:t>Stage 2:</w:t>
            </w:r>
            <w:r>
              <w:rPr>
                <w:rFonts w:ascii="Calibri" w:hAnsi="Calibri"/>
                <w:color w:val="1E293B"/>
                <w:sz w:val="17"/>
              </w:rPr>
              <w:t xml:space="preserve"> Verified NXP/NAQS/Customs first-time pass rate &amp; SME export conversion rate.</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NEPC (eBDSP Framework), Nigeria Customs, FMITI</w:t>
            </w:r>
            <w:r>
              <w:rPr>
                <w:rFonts w:ascii="Calibri" w:hAnsi="Calibri"/>
                <w:color w:val="1E293B"/>
                <w:sz w:val="17"/>
              </w:rPr>
              <w:t xml:space="preserve"> </w:t>
            </w:r>
            <w:r>
              <w:rPr>
                <w:rFonts w:ascii="Calibri" w:hAnsi="Calibri"/>
                <w:i/>
                <w:color w:val="1E293B"/>
                <w:sz w:val="17"/>
              </w:rPr>
              <w:t>(See Annex B Pilot)</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3. National Grid, Gas-to-Power &amp; Minigrid Dispatch Optimisation</w:t>
            </w:r>
            <w:r>
              <w:rPr>
                <w:rFonts w:ascii="Calibri" w:hAnsi="Calibri"/>
                <w:color w:val="1E293B"/>
                <w:sz w:val="17"/>
              </w:rPr>
              <w:t xml:space="preserve"> </w:t>
            </w:r>
            <w:r>
              <w:rPr>
                <w:rFonts w:ascii="Calibri" w:hAnsi="Calibri"/>
                <w:i/>
                <w:color w:val="1E293B"/>
                <w:sz w:val="17"/>
              </w:rPr>
              <w:t>(20% of Reserve)</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National transmission grid, 11 DisCos, gas pipelines, and 1,000+ rural solar/gas minigrids serving 80M+ grid-connected Nigerians.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$300M – $600M/yr</w:t>
            </w:r>
            <w:r>
              <w:rPr>
                <w:rFonts w:ascii="Calibri" w:hAnsi="Calibri"/>
                <w:color w:val="1E293B"/>
                <w:sz w:val="17"/>
              </w:rPr>
              <w:t xml:space="preserve"> (~NGN 480B–960B) from cutting technical/commercial grid losses by 3%–5% and reducing captive diesel burn across industry and data centres.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NGN Compute cost per MWh of avoided load-shedding or diesel substitution.</w:t>
              <w:br/>
            </w:r>
            <w:r>
              <w:rPr>
                <w:rFonts w:ascii="Calibri" w:hAnsi="Calibri"/>
                <w:b/>
                <w:color w:val="1E293B"/>
                <w:sz w:val="17"/>
              </w:rPr>
              <w:t>Stage 2:</w:t>
            </w:r>
            <w:r>
              <w:rPr>
                <w:rFonts w:ascii="Calibri" w:hAnsi="Calibri"/>
                <w:color w:val="1E293B"/>
                <w:sz w:val="17"/>
              </w:rPr>
              <w:t xml:space="preserve"> Smart-meter &amp; SCADA telemetry verification of grid stability and outage duration.</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Ministry of Power, TCN, NERC, REA</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4. Primary Health Triage, CHW Co-Pilot &amp; Outbreak Surveillance</w:t>
            </w:r>
            <w:r>
              <w:rPr>
                <w:rFonts w:ascii="Calibri" w:hAnsi="Calibri"/>
                <w:color w:val="1E293B"/>
                <w:sz w:val="17"/>
              </w:rPr>
              <w:t xml:space="preserve"> </w:t>
            </w:r>
            <w:r>
              <w:rPr>
                <w:rFonts w:ascii="Calibri" w:hAnsi="Calibri"/>
                <w:i/>
                <w:color w:val="1E293B"/>
                <w:sz w:val="17"/>
              </w:rPr>
              <w:t>(13% of Reserve)</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30,000+ Primary Healthcare Centres (PHCs)</w:t>
            </w:r>
            <w:r>
              <w:rPr>
                <w:rFonts w:ascii="Calibri" w:hAnsi="Calibri"/>
                <w:color w:val="1E293B"/>
                <w:sz w:val="17"/>
              </w:rPr>
              <w:t xml:space="preserve"> and 120,000+ Community Health Workers serving 60M+ rural/peri-urban citizens.</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$250M – $500M/yr</w:t>
            </w:r>
            <w:r>
              <w:rPr>
                <w:rFonts w:ascii="Calibri" w:hAnsi="Calibri"/>
                <w:color w:val="1E293B"/>
                <w:sz w:val="17"/>
              </w:rPr>
              <w:t xml:space="preserve"> equivalent in averted tertiary hospitalisations, maternal/child mortality reduction, and 48-hour earlier epidemic detection.</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NGN Cost per clinician-audited triage consult in local language.</w:t>
              <w:br/>
            </w:r>
            <w:r>
              <w:rPr>
                <w:rFonts w:ascii="Calibri" w:hAnsi="Calibri"/>
                <w:b/>
                <w:color w:val="1E293B"/>
                <w:sz w:val="17"/>
              </w:rPr>
              <w:t>Stage 2:</w:t>
            </w:r>
            <w:r>
              <w:rPr>
                <w:rFonts w:ascii="Calibri" w:hAnsi="Calibri"/>
                <w:color w:val="1E293B"/>
                <w:sz w:val="17"/>
              </w:rPr>
              <w:t xml:space="preserve"> Blind diagnostic concordance score on African clinical benchmarks &amp; outbreak lead-time.</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NPHCDA, NCDC, Federal Ministry of Health</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5. Local-Language AI Tutoring &amp; Teacher Co-Pilots</w:t>
            </w:r>
            <w:r>
              <w:rPr>
                <w:rFonts w:ascii="Calibri" w:hAnsi="Calibri"/>
                <w:color w:val="1E293B"/>
                <w:sz w:val="17"/>
              </w:rPr>
              <w:t xml:space="preserve"> </w:t>
            </w:r>
            <w:r>
              <w:rPr>
                <w:rFonts w:ascii="Calibri" w:hAnsi="Calibri"/>
                <w:i/>
                <w:color w:val="1E293B"/>
                <w:sz w:val="17"/>
              </w:rPr>
              <w:t>(12% of Reserve)</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15M+ primary/secondary students</w:t>
            </w:r>
            <w:r>
              <w:rPr>
                <w:rFonts w:ascii="Calibri" w:hAnsi="Calibri"/>
                <w:color w:val="1E293B"/>
                <w:sz w:val="17"/>
              </w:rPr>
              <w:t xml:space="preserve"> and 400,000+ public teachers using low-data apps, offline Tier-3 school appliances, and voice.</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$350M – $700M/yr</w:t>
            </w:r>
            <w:r>
              <w:rPr>
                <w:rFonts w:ascii="Calibri" w:hAnsi="Calibri"/>
                <w:color w:val="1E293B"/>
                <w:sz w:val="17"/>
              </w:rPr>
              <w:t xml:space="preserve"> in long-run human-capital productivity gains and reduced grade-repetition rates across basic literacy and STEM.</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NGN Cost per completed mastery lesson in Yoruba, Hausa, Igbo, Pidgin, or English.</w:t>
              <w:br/>
            </w:r>
            <w:r>
              <w:rPr>
                <w:rFonts w:ascii="Calibri" w:hAnsi="Calibri"/>
                <w:b/>
                <w:color w:val="1E293B"/>
                <w:sz w:val="17"/>
              </w:rPr>
              <w:t>Stage 2:</w:t>
            </w:r>
            <w:r>
              <w:rPr>
                <w:rFonts w:ascii="Calibri" w:hAnsi="Calibri"/>
                <w:color w:val="1E293B"/>
                <w:sz w:val="17"/>
              </w:rPr>
              <w:t xml:space="preserve"> Pre/post standardized learning assessment gains on held-out state exam cohorts.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Federal Ministry of Education, UBEC, State SUBEBs</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6. Tax, Customs &amp; State Land-Title Digitisation</w:t>
            </w:r>
            <w:r>
              <w:rPr>
                <w:rFonts w:ascii="Calibri" w:hAnsi="Calibri"/>
                <w:color w:val="1E293B"/>
                <w:sz w:val="17"/>
              </w:rPr>
              <w:t xml:space="preserve"> </w:t>
            </w:r>
            <w:r>
              <w:rPr>
                <w:rFonts w:ascii="Calibri" w:hAnsi="Calibri"/>
                <w:i/>
                <w:color w:val="1E293B"/>
                <w:sz w:val="17"/>
              </w:rPr>
              <w:t>(8% of Reserve)</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Federal tax administration, port customs clearance, and 36 state Geographic Information System (GIS) land registries.</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$500M – $1.2B/yr</w:t>
            </w:r>
            <w:r>
              <w:rPr>
                <w:rFonts w:ascii="Calibri" w:hAnsi="Calibri"/>
                <w:color w:val="1E293B"/>
                <w:sz w:val="17"/>
              </w:rPr>
              <w:t xml:space="preserve"> (~NGN 800B–1.9T) in broadened non-oil tax compliance, faster port cargo turnaround, and bankable urban/rural land titling.</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NGN Cost per verified land-parcel extraction or automated tax/customs audit.</w:t>
              <w:br/>
            </w:r>
            <w:r>
              <w:rPr>
                <w:rFonts w:ascii="Calibri" w:hAnsi="Calibri"/>
                <w:b/>
                <w:color w:val="1E293B"/>
                <w:sz w:val="17"/>
              </w:rPr>
              <w:t>Stage 2:</w:t>
            </w:r>
            <w:r>
              <w:rPr>
                <w:rFonts w:ascii="Calibri" w:hAnsi="Calibri"/>
                <w:color w:val="1E293B"/>
                <w:sz w:val="17"/>
              </w:rPr>
              <w:t xml:space="preserve"> Verified title-issuance cycle time and net non-oil revenue yield per NGN of compute.</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FIRS (NRS), Nigeria Customs, State Land Registries</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7. Nigerian-Language Tokenizers, Speech Corpora &amp; Security Unit</w:t>
            </w:r>
            <w:r>
              <w:rPr>
                <w:rFonts w:ascii="Calibri" w:hAnsi="Calibri"/>
                <w:color w:val="1E293B"/>
                <w:sz w:val="17"/>
              </w:rPr>
              <w:t xml:space="preserve"> </w:t>
            </w:r>
            <w:r>
              <w:rPr>
                <w:rFonts w:ascii="Calibri" w:hAnsi="Calibri"/>
                <w:i/>
                <w:color w:val="1E293B"/>
                <w:sz w:val="17"/>
              </w:rPr>
              <w:t>(7% of Reserve)</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 xml:space="preserve">Foundational linguistic and safety layer serving </w:t>
            </w:r>
            <w:r>
              <w:rPr>
                <w:rFonts w:ascii="Calibri" w:hAnsi="Calibri"/>
                <w:b/>
                <w:color w:val="1E293B"/>
                <w:sz w:val="17"/>
              </w:rPr>
              <w:t>all 267M Nigerians</w:t>
            </w:r>
            <w:r>
              <w:rPr>
                <w:rFonts w:ascii="Calibri" w:hAnsi="Calibri"/>
                <w:color w:val="1E293B"/>
                <w:sz w:val="17"/>
              </w:rPr>
              <w:t xml:space="preserve"> and ECOWAS/AU partner states.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$80M – $180M/yr</w:t>
            </w:r>
            <w:r>
              <w:rPr>
                <w:rFonts w:ascii="Calibri" w:hAnsi="Calibri"/>
                <w:color w:val="1E293B"/>
                <w:sz w:val="17"/>
              </w:rPr>
              <w:t xml:space="preserve"> in direct compute savings across all public/private workloads by cutting the </w:t>
            </w:r>
            <w:r>
              <w:rPr>
                <w:rFonts w:ascii="Calibri" w:hAnsi="Calibri"/>
                <w:b/>
                <w:color w:val="1E293B"/>
                <w:sz w:val="17"/>
              </w:rPr>
              <w:t>1.88x–8.92x token penalty</w:t>
            </w:r>
            <w:r>
              <w:rPr>
                <w:rFonts w:ascii="Calibri" w:hAnsi="Calibri"/>
                <w:color w:val="1E293B"/>
                <w:sz w:val="17"/>
              </w:rPr>
              <w:t xml:space="preserve"> (</w:t>
            </w:r>
            <w:hyperlink r:id="rId14">
              <w:r>
                <w:rPr>
                  <w:rFonts w:ascii="Calibri" w:hAnsi="Calibri"/>
                  <w:color w:val="B45309"/>
                  <w:u w:val="single"/>
                  <w:sz w:val="17"/>
                </w:rPr>
                <w:t>arXiv 2606.24460</w:t>
              </w:r>
            </w:hyperlink>
            <w:r>
              <w:rPr>
                <w:rFonts w:ascii="Calibri" w:hAnsi="Calibri"/>
                <w:color w:val="1E293B"/>
                <w:sz w:val="17"/>
              </w:rPr>
              <w:t>) to ~1.05x–1.15x.</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Stage 1:</w:t>
            </w:r>
            <w:r>
              <w:rPr>
                <w:rFonts w:ascii="Calibri" w:hAnsi="Calibri"/>
                <w:color w:val="1E293B"/>
                <w:sz w:val="17"/>
              </w:rPr>
              <w:t xml:space="preserve"> Token fertility ratio (tokens per word) across Yoruba, Hausa, Igbo, and Pidgin.</w:t>
              <w:br/>
            </w:r>
            <w:r>
              <w:rPr>
                <w:rFonts w:ascii="Calibri" w:hAnsi="Calibri"/>
                <w:b/>
                <w:color w:val="1E293B"/>
                <w:sz w:val="17"/>
              </w:rPr>
              <w:t>Stage 2:</w:t>
            </w:r>
            <w:r>
              <w:rPr>
                <w:rFonts w:ascii="Calibri" w:hAnsi="Calibri"/>
                <w:color w:val="1E293B"/>
                <w:sz w:val="17"/>
              </w:rPr>
              <w:t xml:space="preserve"> Accuracy gain (closing the 25-point gap </w:t>
            </w:r>
            <w:hyperlink r:id="rId15">
              <w:r>
                <w:rPr>
                  <w:rFonts w:ascii="Calibri" w:hAnsi="Calibri"/>
                  <w:color w:val="B45309"/>
                  <w:u w:val="single"/>
                  <w:sz w:val="17"/>
                </w:rPr>
                <w:t>[arXiv 2509.05486</w:t>
              </w:r>
            </w:hyperlink>
            <w:r>
              <w:rPr>
                <w:rFonts w:ascii="Calibri" w:hAnsi="Calibri"/>
                <w:color w:val="1E293B"/>
                <w:sz w:val="17"/>
              </w:rPr>
              <w:t>]) on African language benchmarks.</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NCAIR, Nigerian Universities, LBS AI Collective</w:t>
            </w:r>
          </w:p>
        </w:tc>
      </w:tr>
    </w:tbl>
    <w:p>
      <w:pPr>
        <w:spacing w:before="0" w:after="120"/>
      </w:pPr>
    </w:p>
    <w:p>
      <w:pPr>
        <w:keepNext/>
        <w:spacing w:before="320" w:after="120"/>
        <w:pBdr>
          <w:bottom w:val="single" w:sz="12" w:space="4" w:color="B45309"/>
        </w:pBdr>
      </w:pPr>
      <w:r>
        <w:rPr>
          <w:rFonts w:ascii="Calibri" w:hAnsi="Calibri"/>
          <w:b/>
          <w:color w:val="0A3D1F"/>
          <w:sz w:val="29"/>
        </w:rPr>
        <w:t>10. Oracles first: machine-verifiable benchmarks and prize bounties</w:t>
      </w:r>
    </w:p>
    <w:p>
      <w:pPr>
        <w:spacing w:before="60" w:after="120" w:line="276" w:lineRule="auto"/>
      </w:pPr>
      <w:r>
        <w:rPr>
          <w:rFonts w:ascii="Calibri" w:hAnsi="Calibri"/>
          <w:color w:val="1E293B"/>
          <w:sz w:val="21"/>
        </w:rPr>
        <w:t xml:space="preserve">Compute can only be allocated objectively where progress can be scored quickly, cheaply, and without human political interference. The companion white paper, </w:t>
      </w:r>
      <w:r>
        <w:rPr>
          <w:rFonts w:ascii="Calibri" w:hAnsi="Calibri"/>
          <w:i/>
          <w:color w:val="1E293B"/>
          <w:sz w:val="21"/>
        </w:rPr>
        <w:t>The Oracle and the Partner: Africa's Path to an Age of Abundance</w:t>
      </w:r>
      <w:r>
        <w:rPr>
          <w:rFonts w:ascii="Calibri" w:hAnsi="Calibri"/>
          <w:color w:val="1E293B"/>
          <w:sz w:val="21"/>
        </w:rPr>
        <w:t xml:space="preserve"> (Version 3.1, 2026; </w:t>
      </w:r>
      <w:hyperlink r:id="rId61">
        <w:r>
          <w:rPr>
            <w:rFonts w:ascii="Calibri" w:hAnsi="Calibri"/>
            <w:color w:val="B45309"/>
            <w:u w:val="single"/>
            <w:sz w:val="21"/>
          </w:rPr>
          <w:t>AI Africa Abundance</w:t>
        </w:r>
      </w:hyperlink>
      <w:r>
        <w:rPr>
          <w:rFonts w:ascii="Calibri" w:hAnsi="Calibri"/>
          <w:color w:val="1E293B"/>
          <w:sz w:val="21"/>
        </w:rPr>
        <w:t xml:space="preserve">), supplies the methodological engine for the 5,000 to 12,000 GPUs reserved for Afrocentric R&amp;D: </w:t>
      </w:r>
      <w:r>
        <w:rPr>
          <w:rFonts w:ascii="Calibri" w:hAnsi="Calibri"/>
          <w:b/>
          <w:color w:val="1E293B"/>
          <w:sz w:val="21"/>
        </w:rPr>
        <w:t>build evaluation oracles first, then pay prize bounties to any team whose AI agent beats the benchmark.</w:t>
      </w:r>
    </w:p>
    <w:p>
      <w:pPr>
        <w:keepNext/>
        <w:spacing w:before="220" w:after="80"/>
      </w:pPr>
      <w:r>
        <w:rPr>
          <w:rFonts w:ascii="Calibri" w:hAnsi="Calibri"/>
          <w:b/>
          <w:color w:val="0A3D1F"/>
          <w:sz w:val="23"/>
        </w:rPr>
        <w:t>10.1 What an Oracle is and why the inversion works</w:t>
      </w:r>
    </w:p>
    <w:p>
      <w:pPr>
        <w:spacing w:before="60" w:after="120" w:line="276" w:lineRule="auto"/>
      </w:pPr>
      <w:r>
        <w:rPr>
          <w:rFonts w:ascii="Calibri" w:hAnsi="Calibri"/>
          <w:color w:val="1E293B"/>
          <w:sz w:val="21"/>
        </w:rPr>
        <w:t xml:space="preserve">An </w:t>
      </w:r>
      <w:r>
        <w:rPr>
          <w:rFonts w:ascii="Calibri" w:hAnsi="Calibri"/>
          <w:b/>
          <w:color w:val="1E293B"/>
          <w:sz w:val="21"/>
        </w:rPr>
        <w:t>oracle</w:t>
      </w:r>
      <w:r>
        <w:rPr>
          <w:rFonts w:ascii="Calibri" w:hAnsi="Calibri"/>
          <w:color w:val="1E293B"/>
          <w:sz w:val="21"/>
        </w:rPr>
        <w:t xml:space="preserve"> is a machine-verifiable mechanism—a held-out digital benchmark, a physics or logistics simulator, an automated wet-lab assay, or an instrumented agricultural field network—that scores a proposed solution truthfully at low cost and low latency. Global AI capability is advancing fastest in domains that already possess tight-loop oracles (software engineering, formal mathematics, protein folding), because AI agents can propose, evaluate, and iterate millions of times without waiting for human committees.</w:t>
      </w:r>
    </w:p>
    <w:p>
      <w:pPr>
        <w:spacing w:before="60" w:after="120" w:line="276" w:lineRule="auto"/>
      </w:pPr>
      <w:r>
        <w:rPr>
          <w:rFonts w:ascii="Calibri" w:hAnsi="Calibri"/>
          <w:color w:val="1E293B"/>
          <w:sz w:val="21"/>
        </w:rPr>
        <w:t>Most high-value African development problems currently lack machine-verifiable oracles: a smallholder intercropping trial waits a full rainy season, and informal trade friction goes unmeasured. Crucially, while global frontier labs spend tens of billions of dollars every year making AI models smarter—a capability Africa can access at near-zero marginal cost through open-weight releases—</w:t>
      </w:r>
      <w:r>
        <w:rPr>
          <w:rFonts w:ascii="Calibri" w:hAnsi="Calibri"/>
          <w:b/>
          <w:color w:val="1E293B"/>
          <w:sz w:val="21"/>
        </w:rPr>
        <w:t>no foreign laboratory will build the ground-truth evaluation benchmarks for cassava mosaic disease, Nigerian port corridor dwell times, Yoruba clinical triage, or West African minigrid dispatch</w:t>
      </w:r>
      <w:r>
        <w:rPr>
          <w:rFonts w:ascii="Calibri" w:hAnsi="Calibri"/>
          <w:color w:val="1E293B"/>
          <w:sz w:val="21"/>
        </w:rPr>
        <w:t xml:space="preserve">. Even better, while trained AI models depreciate within months as newer architectures appear, a rigorous, well-curated oracle </w:t>
      </w:r>
      <w:r>
        <w:rPr>
          <w:rFonts w:ascii="Calibri" w:hAnsi="Calibri"/>
          <w:b/>
          <w:color w:val="1E293B"/>
          <w:sz w:val="21"/>
        </w:rPr>
        <w:t>appreciates over time</w:t>
      </w:r>
      <w:r>
        <w:rPr>
          <w:rFonts w:ascii="Calibri" w:hAnsi="Calibri"/>
          <w:color w:val="1E293B"/>
          <w:sz w:val="21"/>
        </w:rPr>
        <w:t xml:space="preserve"> as every new generation of global and local models is tested against it.</w:t>
      </w:r>
    </w:p>
    <w:p>
      <w:pPr>
        <w:keepNext/>
        <w:spacing w:before="220" w:after="80"/>
      </w:pPr>
      <w:r>
        <w:rPr>
          <w:rFonts w:ascii="Calibri" w:hAnsi="Calibri"/>
          <w:b/>
          <w:color w:val="0A3D1F"/>
          <w:sz w:val="23"/>
        </w:rPr>
        <w:t>10.2 Sequencing the 52 proposed development oracles by loop latency</w:t>
      </w:r>
    </w:p>
    <w:p>
      <w:pPr>
        <w:spacing w:before="60" w:after="120" w:line="276" w:lineRule="auto"/>
      </w:pPr>
      <w:r>
        <w:rPr>
          <w:rFonts w:ascii="Calibri" w:hAnsi="Calibri"/>
          <w:color w:val="1E293B"/>
          <w:sz w:val="21"/>
        </w:rPr>
        <w:t xml:space="preserve">Drawing directly on the </w:t>
      </w:r>
      <w:r>
        <w:rPr>
          <w:rFonts w:ascii="Calibri" w:hAnsi="Calibri"/>
          <w:b/>
          <w:color w:val="1E293B"/>
          <w:sz w:val="21"/>
        </w:rPr>
        <w:t>52 proposed development oracles</w:t>
      </w:r>
      <w:r>
        <w:rPr>
          <w:rFonts w:ascii="Calibri" w:hAnsi="Calibri"/>
          <w:color w:val="1E293B"/>
          <w:sz w:val="21"/>
        </w:rPr>
        <w:t xml:space="preserve"> (46 domain benchmark task families across 8 sectors plus 6 physical/digital infrastructure oracles) catalogued on the open-source </w:t>
      </w:r>
      <w:hyperlink r:id="rId62">
        <w:r>
          <w:rPr>
            <w:rFonts w:ascii="Calibri" w:hAnsi="Calibri"/>
            <w:color w:val="B45309"/>
            <w:u w:val="single"/>
            <w:sz w:val="21"/>
          </w:rPr>
          <w:t>AI Africa Abundance repository</w:t>
        </w:r>
      </w:hyperlink>
      <w:r>
        <w:rPr>
          <w:rFonts w:ascii="Calibri" w:hAnsi="Calibri"/>
          <w:color w:val="1E293B"/>
          <w:sz w:val="21"/>
        </w:rPr>
        <w:t xml:space="preserve">, the strategy sequences R&amp;D compute funding strictly by </w:t>
      </w:r>
      <w:r>
        <w:rPr>
          <w:rFonts w:ascii="Calibri" w:hAnsi="Calibri"/>
          <w:b/>
          <w:color w:val="1E293B"/>
          <w:sz w:val="21"/>
        </w:rPr>
        <w:t>evaluation loop speed</w:t>
      </w:r>
      <w:r>
        <w:rPr>
          <w:rFonts w:ascii="Calibri" w:hAnsi="Calibri"/>
          <w:color w:val="1E293B"/>
          <w:sz w:val="21"/>
        </w:rPr>
        <w:t>:</w:t>
      </w:r>
    </w:p>
    <w:p>
      <w:pPr>
        <w:keepNext/>
        <w:spacing w:before="220" w:after="80"/>
      </w:pPr>
      <w:r>
        <w:rPr>
          <w:rFonts w:ascii="Calibri" w:hAnsi="Calibri"/>
          <w:b/>
          <w:color w:val="B45309"/>
          <w:sz w:val="23"/>
        </w:rPr>
        <w:t>Table 11: Sequencing the 52 African Development Oracles by Evaluation Loop Speed</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Domain &amp; Oracle Count (52 Total)</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Representative Oracle Task Families (The Oracle and the Partner)</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Evaluation Loop Latency</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Compute &amp; Bounty Funding Sequence</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 Logistics, Trade &amp; Corridors</w:t>
            </w:r>
            <w:r>
              <w:rPr>
                <w:rFonts w:ascii="Calibri" w:hAnsi="Calibri"/>
                <w:color w:val="1E293B"/>
                <w:sz w:val="17"/>
              </w:rPr>
              <w:t xml:space="preserve"> </w:t>
            </w:r>
            <w:r>
              <w:rPr>
                <w:rFonts w:ascii="Calibri" w:hAnsi="Calibri"/>
                <w:i/>
                <w:color w:val="1E293B"/>
                <w:sz w:val="17"/>
              </w:rPr>
              <w:t>(7 Benchmarks + 1 PIDA Digital Twin)</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Port call/berth allocation simulator; Apapa/Lekki/Seme border crossing time prediction; perishable cold-chain routing; informal cross-border trade estimation.</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Seconds to Minutes</w:t>
            </w:r>
            <w:r>
              <w:rPr>
                <w:rFonts w:ascii="Calibri" w:hAnsi="Calibri"/>
                <w:color w:val="1E293B"/>
                <w:sz w:val="17"/>
              </w:rPr>
              <w:t xml:space="preserve"> (Simulation + Telemetry)</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Wave 1 (2027):</w:t>
            </w:r>
            <w:r>
              <w:rPr>
                <w:rFonts w:ascii="Calibri" w:hAnsi="Calibri"/>
                <w:color w:val="1E293B"/>
                <w:sz w:val="17"/>
              </w:rPr>
              <w:t xml:space="preserve"> Immediate high-recursion compute allocation &amp; prize bounties.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2. Health Diagnostics &amp; Triage</w:t>
            </w:r>
            <w:r>
              <w:rPr>
                <w:rFonts w:ascii="Calibri" w:hAnsi="Calibri"/>
                <w:color w:val="1E293B"/>
                <w:sz w:val="17"/>
              </w:rPr>
              <w:t xml:space="preserve"> </w:t>
            </w:r>
            <w:r>
              <w:rPr>
                <w:rFonts w:ascii="Calibri" w:hAnsi="Calibri"/>
                <w:i/>
                <w:color w:val="1E293B"/>
                <w:sz w:val="17"/>
              </w:rPr>
              <w:t>(7 Benchmarks + 1 Assay Lab)</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Chest X-ray &amp; TB/malaria microscopy on African cohorts; dermatology across darker skin tones; acoustic cough screening; local-language CHW triage accuracy.</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Seconds to Minutes</w:t>
            </w:r>
            <w:r>
              <w:rPr>
                <w:rFonts w:ascii="Calibri" w:hAnsi="Calibri"/>
                <w:color w:val="1E293B"/>
                <w:sz w:val="17"/>
              </w:rPr>
              <w:t xml:space="preserve"> (Labelled Retrospective Data)</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Wave 1 (2027):</w:t>
            </w:r>
            <w:r>
              <w:rPr>
                <w:rFonts w:ascii="Calibri" w:hAnsi="Calibri"/>
                <w:color w:val="1E293B"/>
                <w:sz w:val="17"/>
              </w:rPr>
              <w:t xml:space="preserve"> Immediate benchmark publication &amp; clinical validation bounties.</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3. Language, Voice &amp; Document Access</w:t>
            </w:r>
            <w:r>
              <w:rPr>
                <w:rFonts w:ascii="Calibri" w:hAnsi="Calibri"/>
                <w:color w:val="1E293B"/>
                <w:sz w:val="17"/>
              </w:rPr>
              <w:t xml:space="preserve"> </w:t>
            </w:r>
            <w:r>
              <w:rPr>
                <w:rFonts w:ascii="Calibri" w:hAnsi="Calibri"/>
                <w:i/>
                <w:color w:val="1E293B"/>
                <w:sz w:val="17"/>
              </w:rPr>
              <w:t>(4 Benchmarks + 1 Speech Corpus)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Noisy rural ASR in Yoruba, Hausa, Igbo, Pidgin; low-resource machine translation; Nigerian customs/land document OCR and reasoning.</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Seconds</w:t>
            </w:r>
            <w:r>
              <w:rPr>
                <w:rFonts w:ascii="Calibri" w:hAnsi="Calibri"/>
                <w:color w:val="1E293B"/>
                <w:sz w:val="17"/>
              </w:rPr>
              <w:t xml:space="preserve"> (Held-out Test Splits)</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Wave 1 (2027):</w:t>
            </w:r>
            <w:r>
              <w:rPr>
                <w:rFonts w:ascii="Calibri" w:hAnsi="Calibri"/>
                <w:color w:val="1E293B"/>
                <w:sz w:val="17"/>
              </w:rPr>
              <w:t xml:space="preserve"> Funded alongside the Phase 1 National Tokenizer Audit.</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4. Energy &amp; Connectivity</w:t>
            </w:r>
            <w:r>
              <w:rPr>
                <w:rFonts w:ascii="Calibri" w:hAnsi="Calibri"/>
                <w:color w:val="1E293B"/>
                <w:sz w:val="17"/>
              </w:rPr>
              <w:t xml:space="preserve"> </w:t>
            </w:r>
            <w:r>
              <w:rPr>
                <w:rFonts w:ascii="Calibri" w:hAnsi="Calibri"/>
                <w:i/>
                <w:color w:val="1E293B"/>
                <w:sz w:val="17"/>
              </w:rPr>
              <w:t>(11 Benchmarks: 6 Energy + 5 RF/Telecom)</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Solar/gas minigrid sizing; sparse load forecasting; battery degradation dispatch; renewable + compute co-siting; rural RF mesh &amp; solar base-station siting.</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Minutes to Hours</w:t>
            </w:r>
            <w:r>
              <w:rPr>
                <w:rFonts w:ascii="Calibri" w:hAnsi="Calibri"/>
                <w:color w:val="1E293B"/>
                <w:sz w:val="17"/>
              </w:rPr>
              <w:t xml:space="preserve"> (Physical Sim + Smart Meter Data)</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Wave 1–2 (2027–2028):</w:t>
            </w:r>
            <w:r>
              <w:rPr>
                <w:rFonts w:ascii="Calibri" w:hAnsi="Calibri"/>
                <w:color w:val="1E293B"/>
                <w:sz w:val="17"/>
              </w:rPr>
              <w:t xml:space="preserve"> Tied directly to Tier-2/Tier-3 distributed compute rollout.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5. Housing &amp; Built Environment</w:t>
            </w:r>
            <w:r>
              <w:rPr>
                <w:rFonts w:ascii="Calibri" w:hAnsi="Calibri"/>
                <w:color w:val="1E293B"/>
                <w:sz w:val="17"/>
              </w:rPr>
              <w:t xml:space="preserve"> </w:t>
            </w:r>
            <w:r>
              <w:rPr>
                <w:rFonts w:ascii="Calibri" w:hAnsi="Calibri"/>
                <w:i/>
                <w:color w:val="1E293B"/>
                <w:sz w:val="17"/>
              </w:rPr>
              <w:t>(5 Benchmarks + 1 Materials Lab)</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Structural optimisation over local compressed earth/timber materials; passive tropical thermal simulation; incremental construction sequencing.</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Minutes to Hours</w:t>
            </w:r>
            <w:r>
              <w:rPr>
                <w:rFonts w:ascii="Calibri" w:hAnsi="Calibri"/>
                <w:color w:val="1E293B"/>
                <w:sz w:val="17"/>
              </w:rPr>
              <w:t xml:space="preserve"> (Structural/Thermal FEM Sim)</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Wave 2 (2028):</w:t>
            </w:r>
            <w:r>
              <w:rPr>
                <w:rFonts w:ascii="Calibri" w:hAnsi="Calibri"/>
                <w:color w:val="1E293B"/>
                <w:sz w:val="17"/>
              </w:rPr>
              <w:t xml:space="preserve"> Paired with National Building &amp; Road Research Institute (NBRRI) test rigs.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6. Environment &amp; Earth Observation</w:t>
            </w:r>
            <w:r>
              <w:rPr>
                <w:rFonts w:ascii="Calibri" w:hAnsi="Calibri"/>
                <w:color w:val="1E293B"/>
                <w:sz w:val="17"/>
              </w:rPr>
              <w:t xml:space="preserve"> </w:t>
            </w:r>
            <w:r>
              <w:rPr>
                <w:rFonts w:ascii="Calibri" w:hAnsi="Calibri"/>
                <w:i/>
                <w:color w:val="1E293B"/>
                <w:sz w:val="17"/>
              </w:rPr>
              <w:t>(5 Benchmarks)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Plot-level cocoa/forest EUDR deforestation verification (NASRDA); flood/coastal erosion modelling; water quality and carbon stock estimation.</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Days to Weeks</w:t>
            </w:r>
            <w:r>
              <w:rPr>
                <w:rFonts w:ascii="Calibri" w:hAnsi="Calibri"/>
                <w:color w:val="1E293B"/>
                <w:sz w:val="17"/>
              </w:rPr>
              <w:t xml:space="preserve"> (Satellite Remote Sensing)</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Wave 1–2 (2027–2028):</w:t>
            </w:r>
            <w:r>
              <w:rPr>
                <w:rFonts w:ascii="Calibri" w:hAnsi="Calibri"/>
                <w:color w:val="1E293B"/>
                <w:sz w:val="17"/>
              </w:rPr>
              <w:t xml:space="preserve"> Anchored in the FMAFS–NASRDA satellite traceability pipeline.</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7. Agriculture &amp; Crop Systems</w:t>
            </w:r>
            <w:r>
              <w:rPr>
                <w:rFonts w:ascii="Calibri" w:hAnsi="Calibri"/>
                <w:color w:val="1E293B"/>
                <w:sz w:val="17"/>
              </w:rPr>
              <w:t xml:space="preserve"> </w:t>
            </w:r>
            <w:r>
              <w:rPr>
                <w:rFonts w:ascii="Calibri" w:hAnsi="Calibri"/>
                <w:i/>
                <w:color w:val="1E293B"/>
                <w:sz w:val="17"/>
              </w:rPr>
              <w:t>(7 Benchmarks + 2 Phenotyping/Trial Nets)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Cassava/cocoa/sesame disease ID; yield &amp; price forecasting; pest outbreak prediction; genomic selection for drought-tolerant sorghum, cowpea, yam, millet.</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Weeks to Growing Seasons</w:t>
            </w:r>
            <w:r>
              <w:rPr>
                <w:rFonts w:ascii="Calibri" w:hAnsi="Calibri"/>
                <w:color w:val="1E293B"/>
                <w:sz w:val="17"/>
              </w:rPr>
              <w:t xml:space="preserve"> (Sensing + Field Trials)</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Start instrumenting trial networks in 2027; harvest recursive AI gains in 2028–2031.</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8. Macro Governance &amp; Broad Policy</w:t>
            </w:r>
            <w:r>
              <w:rPr>
                <w:rFonts w:ascii="Calibri" w:hAnsi="Calibri"/>
                <w:color w:val="1E293B"/>
                <w:sz w:val="17"/>
              </w:rPr>
              <w:t xml:space="preserve"> </w:t>
            </w:r>
            <w:r>
              <w:rPr>
                <w:rFonts w:ascii="Calibri" w:hAnsi="Calibri"/>
                <w:i/>
                <w:color w:val="1E293B"/>
                <w:sz w:val="17"/>
              </w:rPr>
              <w:t>(Explicitly Excluded from AI Automation)</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Constitutional design, macro-fiscal bargaining, judicial discretion, political reconciliation.</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Years to Decades</w:t>
            </w:r>
            <w:r>
              <w:rPr>
                <w:rFonts w:ascii="Calibri" w:hAnsi="Calibri"/>
                <w:color w:val="1E293B"/>
                <w:sz w:val="17"/>
              </w:rPr>
              <w:t xml:space="preserve"> (No Ground-Truth Oracle)</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Never funded as autonomous AI research.</w:t>
            </w:r>
            <w:r>
              <w:rPr>
                <w:rFonts w:ascii="Calibri" w:hAnsi="Calibri"/>
                <w:color w:val="1E293B"/>
                <w:sz w:val="17"/>
              </w:rPr>
              <w:t xml:space="preserve"> Reserved strictly for human democratic judgment and Public Ledger transparency.</w:t>
            </w:r>
          </w:p>
        </w:tc>
      </w:tr>
    </w:tbl>
    <w:p>
      <w:pPr>
        <w:spacing w:before="0" w:after="120"/>
      </w:pPr>
    </w:p>
    <w:p>
      <w:pPr>
        <w:keepNext/>
        <w:spacing w:before="220" w:after="80"/>
      </w:pPr>
      <w:r>
        <w:rPr>
          <w:rFonts w:ascii="Calibri" w:hAnsi="Calibri"/>
          <w:b/>
          <w:color w:val="0A3D1F"/>
          <w:sz w:val="23"/>
        </w:rPr>
        <w:t>10.3 Prize bounties instead of capture-prone research grants</w:t>
      </w:r>
    </w:p>
    <w:p>
      <w:pPr>
        <w:spacing w:before="60" w:after="120" w:line="276" w:lineRule="auto"/>
      </w:pPr>
      <w:r>
        <w:rPr>
          <w:rFonts w:ascii="Calibri" w:hAnsi="Calibri"/>
          <w:color w:val="1E293B"/>
          <w:sz w:val="21"/>
        </w:rPr>
        <w:t xml:space="preserve">Where a machine-verifiable oracle exists, the Presidential Delivery Council and the </w:t>
      </w:r>
      <w:r>
        <w:rPr>
          <w:rFonts w:ascii="Calibri" w:hAnsi="Calibri"/>
          <w:b/>
          <w:color w:val="1E293B"/>
          <w:sz w:val="21"/>
        </w:rPr>
        <w:t>National AI Trust</w:t>
      </w:r>
      <w:r>
        <w:rPr>
          <w:rFonts w:ascii="Calibri" w:hAnsi="Calibri"/>
          <w:color w:val="1E293B"/>
          <w:sz w:val="21"/>
        </w:rPr>
        <w:t xml:space="preserve"> replace traditional upfront academic grants with </w:t>
      </w:r>
      <w:r>
        <w:rPr>
          <w:rFonts w:ascii="Calibri" w:hAnsi="Calibri"/>
          <w:b/>
          <w:color w:val="1E293B"/>
          <w:sz w:val="21"/>
        </w:rPr>
        <w:t>Oracle Prize Bounties</w:t>
      </w:r>
      <w:r>
        <w:rPr>
          <w:rFonts w:ascii="Calibri" w:hAnsi="Calibri"/>
          <w:color w:val="1E293B"/>
          <w:sz w:val="21"/>
        </w:rPr>
        <w:t xml:space="preserve"> paid out of the AI Infrastructure Fund:</w:t>
      </w:r>
    </w:p>
    <w:p>
      <w:pPr>
        <w:spacing w:before="50" w:after="70"/>
        <w:ind w:left="360" w:hanging="360"/>
      </w:pPr>
      <w:r>
        <w:rPr>
          <w:rFonts w:ascii="Calibri" w:hAnsi="Calibri"/>
          <w:b/>
          <w:color w:val="0A3D1F"/>
          <w:sz w:val="20"/>
        </w:rPr>
        <w:t xml:space="preserve">1. </w:t>
      </w:r>
      <w:r>
        <w:rPr>
          <w:rFonts w:ascii="Calibri" w:hAnsi="Calibri"/>
          <w:b/>
          <w:color w:val="1E293B"/>
          <w:sz w:val="20"/>
        </w:rPr>
        <w:t>Zero payout until verified performance:</w:t>
      </w:r>
      <w:r>
        <w:rPr>
          <w:rFonts w:ascii="Calibri" w:hAnsi="Calibri"/>
          <w:color w:val="1E293B"/>
          <w:sz w:val="20"/>
        </w:rPr>
        <w:t xml:space="preserve"> NCAIR and domain working groups publish the open training data, the evaluation harness, and a clear target score (while holding back an encrypted, private test split to prevent overfitting). Prize money is disbursed </w:t>
      </w:r>
      <w:r>
        <w:rPr>
          <w:rFonts w:ascii="Calibri" w:hAnsi="Calibri"/>
          <w:b/>
          <w:color w:val="1E293B"/>
          <w:sz w:val="20"/>
        </w:rPr>
        <w:t>only</w:t>
      </w:r>
      <w:r>
        <w:rPr>
          <w:rFonts w:ascii="Calibri" w:hAnsi="Calibri"/>
          <w:color w:val="1E293B"/>
          <w:sz w:val="20"/>
        </w:rPr>
        <w:t xml:space="preserve"> when a submitted open-weight model or workflow beats the verified threshold on the held-out test split.</w:t>
      </w:r>
    </w:p>
    <w:p>
      <w:pPr>
        <w:spacing w:before="50" w:after="70"/>
        <w:ind w:left="360" w:hanging="360"/>
      </w:pPr>
      <w:r>
        <w:rPr>
          <w:rFonts w:ascii="Calibri" w:hAnsi="Calibri"/>
          <w:b/>
          <w:color w:val="0A3D1F"/>
          <w:sz w:val="20"/>
        </w:rPr>
        <w:t xml:space="preserve">2. </w:t>
      </w:r>
      <w:r>
        <w:rPr>
          <w:rFonts w:ascii="Calibri" w:hAnsi="Calibri"/>
          <w:b/>
          <w:color w:val="1E293B"/>
          <w:sz w:val="20"/>
        </w:rPr>
        <w:t>Immune to political patronage:</w:t>
      </w:r>
      <w:r>
        <w:rPr>
          <w:rFonts w:ascii="Calibri" w:hAnsi="Calibri"/>
          <w:color w:val="1E293B"/>
          <w:sz w:val="20"/>
        </w:rPr>
        <w:t xml:space="preserve"> Because a machine-scored benchmark cannot be lobbied or bribed, bounties eliminate procurement capture and reduce administrative overhead to near zero. Every submission score and bounty payout is written permanently to the Public Ledger.</w:t>
      </w:r>
    </w:p>
    <w:p>
      <w:pPr>
        <w:spacing w:before="50" w:after="70"/>
        <w:ind w:left="360" w:hanging="360"/>
      </w:pPr>
      <w:r>
        <w:rPr>
          <w:rFonts w:ascii="Calibri" w:hAnsi="Calibri"/>
          <w:b/>
          <w:color w:val="0A3D1F"/>
          <w:sz w:val="20"/>
        </w:rPr>
        <w:t xml:space="preserve">3. </w:t>
      </w:r>
      <w:r>
        <w:rPr>
          <w:rFonts w:ascii="Calibri" w:hAnsi="Calibri"/>
          <w:b/>
          <w:color w:val="1E293B"/>
          <w:sz w:val="20"/>
        </w:rPr>
        <w:t>Two sovereign safeguards:</w:t>
      </w:r>
      <w:r>
        <w:rPr>
          <w:rFonts w:ascii="Calibri" w:hAnsi="Calibri"/>
          <w:color w:val="1E293B"/>
          <w:sz w:val="20"/>
        </w:rPr>
        <w:t xml:space="preserve"> To ensure bounty funds build domestic capability rather than simply subsidising well-funded foreign laboratories:</w:t>
      </w:r>
    </w:p>
    <w:p>
      <w:pPr>
        <w:pStyle w:val="ListBullet"/>
        <w:spacing w:before="40" w:after="60"/>
      </w:pPr>
      <w:r>
        <w:rPr>
          <w:rFonts w:ascii="Calibri" w:hAnsi="Calibri"/>
          <w:b/>
          <w:color w:val="1E293B"/>
          <w:sz w:val="20"/>
        </w:rPr>
        <w:t>Rule 1 (African IP &amp; Data Commons):</w:t>
      </w:r>
      <w:r>
        <w:rPr>
          <w:rFonts w:ascii="Calibri" w:hAnsi="Calibri"/>
          <w:color w:val="1E293B"/>
          <w:sz w:val="20"/>
        </w:rPr>
        <w:t xml:space="preserve"> All oracle datasets, simulators, and winning model weights/adapters must be licensed under open or sovereign-permissive terms (CC BY 4.0 / MIT or Nigerian public-sector royalty-free license) so Nigerian institutions own the resulting capability permanently.</w:t>
      </w:r>
    </w:p>
    <w:p>
      <w:pPr>
        <w:pStyle w:val="ListBullet"/>
        <w:spacing w:before="40" w:after="60"/>
      </w:pPr>
      <w:r>
        <w:rPr>
          <w:rFonts w:ascii="Calibri" w:hAnsi="Calibri"/>
          <w:b/>
          <w:color w:val="1E293B"/>
          <w:sz w:val="20"/>
        </w:rPr>
        <w:t>Rule 2 (Mandatory Local Implementing Partner for Field Prizes):</w:t>
      </w:r>
      <w:r>
        <w:rPr>
          <w:rFonts w:ascii="Calibri" w:hAnsi="Calibri"/>
          <w:color w:val="1E293B"/>
          <w:sz w:val="20"/>
        </w:rPr>
        <w:t xml:space="preserve"> Each bounty is split into an initial </w:t>
      </w:r>
      <w:r>
        <w:rPr>
          <w:rFonts w:ascii="Calibri" w:hAnsi="Calibri"/>
          <w:i/>
          <w:color w:val="1E293B"/>
          <w:sz w:val="20"/>
        </w:rPr>
        <w:t>Digital Benchmark Tranche</w:t>
      </w:r>
      <w:r>
        <w:rPr>
          <w:rFonts w:ascii="Calibri" w:hAnsi="Calibri"/>
          <w:color w:val="1E293B"/>
          <w:sz w:val="20"/>
        </w:rPr>
        <w:t xml:space="preserve"> (30% of prize pool, open globally to pull in worldwide research talent) and a larger </w:t>
      </w:r>
      <w:r>
        <w:rPr>
          <w:rFonts w:ascii="Calibri" w:hAnsi="Calibri"/>
          <w:i/>
          <w:color w:val="1E293B"/>
          <w:sz w:val="20"/>
        </w:rPr>
        <w:t>Field Validation Tranche</w:t>
      </w:r>
      <w:r>
        <w:rPr>
          <w:rFonts w:ascii="Calibri" w:hAnsi="Calibri"/>
          <w:color w:val="1E293B"/>
          <w:sz w:val="20"/>
        </w:rPr>
        <w:t xml:space="preserve"> (70% of prize pool, payable only when the solution is validated in live Nigerian clinics, farms, or ports by a consortium led by a registered Nigerian university, research institute, or domestic technology company).</w:t>
      </w:r>
    </w:p>
    <w:p>
      <w:pPr>
        <w:keepNext/>
        <w:spacing w:before="320" w:after="120"/>
        <w:pBdr>
          <w:bottom w:val="single" w:sz="12" w:space="4" w:color="B45309"/>
        </w:pBdr>
      </w:pPr>
      <w:r>
        <w:rPr>
          <w:rFonts w:ascii="Calibri" w:hAnsi="Calibri"/>
          <w:b/>
          <w:color w:val="0A3D1F"/>
          <w:sz w:val="29"/>
        </w:rPr>
        <w:t>11. Financing through public–private partnerships and strict entity-level export-control ring-fencing</w:t>
      </w:r>
    </w:p>
    <w:p>
      <w:pPr>
        <w:keepNext/>
        <w:spacing w:before="220" w:after="80"/>
      </w:pPr>
      <w:r>
        <w:rPr>
          <w:rFonts w:ascii="Calibri" w:hAnsi="Calibri"/>
          <w:b/>
          <w:color w:val="0A3D1F"/>
          <w:sz w:val="23"/>
        </w:rPr>
        <w:t>11.1 Nigeria's ready-made PPP legal foundation</w:t>
      </w:r>
    </w:p>
    <w:p>
      <w:pPr>
        <w:spacing w:before="60" w:after="120" w:line="276" w:lineRule="auto"/>
      </w:pPr>
      <w:r>
        <w:rPr>
          <w:rFonts w:ascii="Calibri" w:hAnsi="Calibri"/>
          <w:color w:val="1E293B"/>
          <w:sz w:val="21"/>
        </w:rPr>
        <w:t xml:space="preserve">The generational compute emergency cannot be financed from the federal budget alone, and it should not be. Under a structured PPP model, the state contributes what only sovereign authority can supply: dedicated gas allocations, Critical National Infrastructure land, fast-track permits, a predictable naira availability payment for the </w:t>
      </w:r>
      <w:r>
        <w:rPr>
          <w:rFonts w:ascii="Calibri" w:hAnsi="Calibri"/>
          <w:b/>
          <w:color w:val="1E293B"/>
          <w:sz w:val="21"/>
        </w:rPr>
        <w:t>20% Sovereign Reserve</w:t>
      </w:r>
      <w:r>
        <w:rPr>
          <w:rFonts w:ascii="Calibri" w:hAnsi="Calibri"/>
          <w:color w:val="1E293B"/>
          <w:sz w:val="21"/>
        </w:rPr>
        <w:t>, and stable regulatory rules. Private operators and DFIs finance, build, and operate the power plants, data-centre shells, and GPU clusters under concessions that transfer the long-lived physical assets back to public ownership.</w:t>
      </w:r>
    </w:p>
    <w:p>
      <w:pPr>
        <w:spacing w:before="60" w:after="120" w:line="276" w:lineRule="auto"/>
      </w:pPr>
      <w:r>
        <w:rPr>
          <w:rFonts w:ascii="Calibri" w:hAnsi="Calibri"/>
          <w:color w:val="1E293B"/>
          <w:sz w:val="21"/>
        </w:rPr>
        <w:t>Nigeria's legal and institutional base for this model is already operational:</w:t>
      </w:r>
    </w:p>
    <w:p>
      <w:pPr>
        <w:pStyle w:val="ListBullet"/>
        <w:spacing w:before="40" w:after="60"/>
      </w:pPr>
      <w:r>
        <w:rPr>
          <w:rFonts w:ascii="Calibri" w:hAnsi="Calibri"/>
          <w:color w:val="1E293B"/>
          <w:sz w:val="20"/>
        </w:rPr>
        <w:t xml:space="preserve">The </w:t>
      </w:r>
      <w:r>
        <w:rPr>
          <w:rFonts w:ascii="Calibri" w:hAnsi="Calibri"/>
          <w:b/>
          <w:color w:val="1E293B"/>
          <w:sz w:val="20"/>
        </w:rPr>
        <w:t>ICRC Establishment Act of 2005</w:t>
      </w:r>
      <w:r>
        <w:rPr>
          <w:rFonts w:ascii="Calibri" w:hAnsi="Calibri"/>
          <w:color w:val="1E293B"/>
          <w:sz w:val="20"/>
        </w:rPr>
        <w:t xml:space="preserve"> governs federal concessions, and ICRC's August 2026 World Economic Forum briefing explicitly lists hyperscale data centres and cloud infrastructure among Nigeria's priority bankable PPP pipelines (</w:t>
      </w:r>
      <w:hyperlink r:id="rId45">
        <w:r>
          <w:rPr>
            <w:rFonts w:ascii="Calibri" w:hAnsi="Calibri"/>
            <w:color w:val="B45309"/>
            <w:u w:val="single"/>
            <w:sz w:val="20"/>
          </w:rPr>
          <w:t>ICRC</w:t>
        </w:r>
      </w:hyperlink>
      <w:r>
        <w:rPr>
          <w:rFonts w:ascii="Calibri" w:hAnsi="Calibri"/>
          <w:color w:val="1E293B"/>
          <w:sz w:val="20"/>
        </w:rPr>
        <w:t>).</w:t>
      </w:r>
    </w:p>
    <w:p>
      <w:pPr>
        <w:pStyle w:val="ListBullet"/>
        <w:spacing w:before="40" w:after="60"/>
      </w:pPr>
      <w:r>
        <w:rPr>
          <w:rFonts w:ascii="Calibri" w:hAnsi="Calibri"/>
          <w:color w:val="1E293B"/>
          <w:sz w:val="20"/>
        </w:rPr>
        <w:t xml:space="preserve">In June 2026, ICRC unveiled a standardized </w:t>
      </w:r>
      <w:r>
        <w:rPr>
          <w:rFonts w:ascii="Calibri" w:hAnsi="Calibri"/>
          <w:b/>
          <w:color w:val="1E293B"/>
          <w:sz w:val="20"/>
        </w:rPr>
        <w:t>Model PPP Agreement</w:t>
      </w:r>
      <w:r>
        <w:rPr>
          <w:rFonts w:ascii="Calibri" w:hAnsi="Calibri"/>
          <w:color w:val="1E293B"/>
          <w:sz w:val="20"/>
        </w:rPr>
        <w:t>, eliminating multi-year bespoke contract drafting (</w:t>
      </w:r>
      <w:hyperlink r:id="rId48">
        <w:r>
          <w:rPr>
            <w:rFonts w:ascii="Calibri" w:hAnsi="Calibri"/>
            <w:color w:val="B45309"/>
            <w:u w:val="single"/>
            <w:sz w:val="20"/>
          </w:rPr>
          <w:t>NAN</w:t>
        </w:r>
      </w:hyperlink>
      <w:r>
        <w:rPr>
          <w:rFonts w:ascii="Calibri" w:hAnsi="Calibri"/>
          <w:color w:val="1E293B"/>
          <w:sz w:val="20"/>
        </w:rPr>
        <w:t>).</w:t>
      </w:r>
    </w:p>
    <w:p>
      <w:pPr>
        <w:pStyle w:val="ListBullet"/>
        <w:spacing w:before="40" w:after="60"/>
      </w:pPr>
      <w:r>
        <w:rPr>
          <w:rFonts w:ascii="Calibri" w:hAnsi="Calibri"/>
          <w:color w:val="1E293B"/>
          <w:sz w:val="20"/>
        </w:rPr>
        <w:t xml:space="preserve">New ICRC guidelines decentralised project approvals below </w:t>
      </w:r>
      <w:r>
        <w:rPr>
          <w:rFonts w:ascii="Calibri" w:hAnsi="Calibri"/>
          <w:b/>
          <w:color w:val="1E293B"/>
          <w:sz w:val="20"/>
        </w:rPr>
        <w:t>NGN 20 billion for ministries and NGN 10 billion for agencies</w:t>
      </w:r>
      <w:r>
        <w:rPr>
          <w:rFonts w:ascii="Calibri" w:hAnsi="Calibri"/>
          <w:color w:val="1E293B"/>
          <w:sz w:val="20"/>
        </w:rPr>
        <w:t>, enabling rapid sign-off for Tier-2 state edge nodes and campus appliances (</w:t>
      </w:r>
      <w:hyperlink r:id="rId49">
        <w:r>
          <w:rPr>
            <w:rFonts w:ascii="Calibri" w:hAnsi="Calibri"/>
            <w:color w:val="B45309"/>
            <w:u w:val="single"/>
            <w:sz w:val="20"/>
          </w:rPr>
          <w:t>VON</w:t>
        </w:r>
      </w:hyperlink>
      <w:r>
        <w:rPr>
          <w:rFonts w:ascii="Calibri" w:hAnsi="Calibri"/>
          <w:color w:val="1E293B"/>
          <w:sz w:val="20"/>
        </w:rPr>
        <w:t>).</w:t>
      </w:r>
    </w:p>
    <w:p>
      <w:pPr>
        <w:pStyle w:val="ListBullet"/>
        <w:spacing w:before="40" w:after="60"/>
      </w:pPr>
      <w:r>
        <w:rPr>
          <w:rFonts w:ascii="Calibri" w:hAnsi="Calibri"/>
          <w:color w:val="1E293B"/>
          <w:sz w:val="20"/>
        </w:rPr>
        <w:t xml:space="preserve">In August 2026, Nigeria's customs modernisation PPP was formally adopted as the continental template for a </w:t>
      </w:r>
      <w:r>
        <w:rPr>
          <w:rFonts w:ascii="Calibri" w:hAnsi="Calibri"/>
          <w:b/>
          <w:color w:val="1E293B"/>
          <w:sz w:val="20"/>
        </w:rPr>
        <w:t>$3.1 billion AfCFTA customs infrastructure programme</w:t>
      </w:r>
      <w:r>
        <w:rPr>
          <w:rFonts w:ascii="Calibri" w:hAnsi="Calibri"/>
          <w:color w:val="1E293B"/>
          <w:sz w:val="20"/>
        </w:rPr>
        <w:t>, proving that Nigerian PPP structures can scale across African jurisdictions (</w:t>
      </w:r>
      <w:hyperlink r:id="rId19">
        <w:r>
          <w:rPr>
            <w:rFonts w:ascii="Calibri" w:hAnsi="Calibri"/>
            <w:color w:val="B45309"/>
            <w:u w:val="single"/>
            <w:sz w:val="20"/>
          </w:rPr>
          <w:t>NAN</w:t>
        </w:r>
      </w:hyperlink>
      <w:r>
        <w:rPr>
          <w:rFonts w:ascii="Calibri" w:hAnsi="Calibri"/>
          <w:color w:val="1E293B"/>
          <w:sz w:val="20"/>
        </w:rPr>
        <w:t>).</w:t>
      </w:r>
    </w:p>
    <w:p>
      <w:pPr>
        <w:keepNext/>
        <w:spacing w:before="220" w:after="80"/>
      </w:pPr>
      <w:r>
        <w:rPr>
          <w:rFonts w:ascii="Calibri" w:hAnsi="Calibri"/>
          <w:b/>
          <w:color w:val="0A3D1F"/>
          <w:sz w:val="23"/>
        </w:rPr>
        <w:t>11.2 The 8-party zone SPV structure and risk allocation</w:t>
      </w:r>
    </w:p>
    <w:p>
      <w:pPr>
        <w:keepNext/>
        <w:spacing w:before="160" w:after="80"/>
        <w:jc w:val="center"/>
      </w:pPr>
      <w:r>
        <w:drawing>
          <wp:inline xmlns:a="http://schemas.openxmlformats.org/drawingml/2006/main" xmlns:pic="http://schemas.openxmlformats.org/drawingml/2006/picture">
            <wp:extent cx="6217920" cy="3369683"/>
            <wp:docPr id="4" name="Picture 4"/>
            <wp:cNvGraphicFramePr>
              <a:graphicFrameLocks noChangeAspect="1"/>
            </wp:cNvGraphicFramePr>
            <a:graphic>
              <a:graphicData uri="http://schemas.openxmlformats.org/drawingml/2006/picture">
                <pic:pic>
                  <pic:nvPicPr>
                    <pic:cNvPr id="0" name="fig4_ppp_spv_structure.png"/>
                    <pic:cNvPicPr/>
                  </pic:nvPicPr>
                  <pic:blipFill>
                    <a:blip r:embed="rId63"/>
                    <a:stretch>
                      <a:fillRect/>
                    </a:stretch>
                  </pic:blipFill>
                  <pic:spPr>
                    <a:xfrm>
                      <a:off x="0" y="0"/>
                      <a:ext cx="6217920" cy="3369683"/>
                    </a:xfrm>
                    <a:prstGeom prst="rect"/>
                  </pic:spPr>
                </pic:pic>
              </a:graphicData>
            </a:graphic>
          </wp:inline>
        </w:drawing>
      </w:r>
    </w:p>
    <w:p>
      <w:pPr>
        <w:spacing w:before="0" w:after="200"/>
        <w:jc w:val="center"/>
      </w:pPr>
      <w:r>
        <w:rPr>
          <w:rFonts w:ascii="Calibri" w:hAnsi="Calibri"/>
          <w:b/>
          <w:i/>
          <w:color w:val="0A3D1F"/>
          <w:sz w:val="18"/>
        </w:rPr>
        <w:t>Figure 4: 8-Party Energy-Compute Zone PPP SPV Structure &amp; Entity-Level Export-Control Ring-Fencing</w:t>
      </w:r>
    </w:p>
    <w:p>
      <w:pPr>
        <w:keepNext/>
        <w:spacing w:before="220" w:after="80"/>
      </w:pPr>
      <w:r>
        <w:rPr>
          <w:rFonts w:ascii="Calibri" w:hAnsi="Calibri"/>
          <w:b/>
          <w:color w:val="B45309"/>
          <w:sz w:val="23"/>
        </w:rPr>
        <w:t>Table 12: Contractual Roles and Risk Allocation Across the 8-Party Zone PPP Structure</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SPV Party &amp; Risk Category</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Primary Institutional / Private Counterparty</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Contractual Instrument &amp; Risk-Bearing Rule</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 Sovereign Grantor &amp; Concession Regulator</w:t>
            </w:r>
            <w:r>
              <w:rPr>
                <w:rFonts w:ascii="Calibri" w:hAnsi="Calibri"/>
                <w:color w:val="1E293B"/>
                <w:sz w:val="17"/>
              </w:rPr>
              <w:t xml:space="preserve"> </w:t>
            </w:r>
            <w:r>
              <w:rPr>
                <w:rFonts w:ascii="Calibri" w:hAnsi="Calibri"/>
                <w:i/>
                <w:color w:val="1E293B"/>
                <w:sz w:val="17"/>
              </w:rPr>
              <w:t>(Regulatory &amp; Land Risk)</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Presidency, FEC, FMCIDE, </w:t>
            </w:r>
            <w:r>
              <w:rPr>
                <w:rFonts w:ascii="Calibri" w:hAnsi="Calibri"/>
                <w:b/>
                <w:color w:val="1E293B"/>
                <w:sz w:val="17"/>
              </w:rPr>
              <w:t>ICRC</w:t>
            </w:r>
            <w:r>
              <w:rPr>
                <w:rFonts w:ascii="Calibri" w:hAnsi="Calibri"/>
                <w:color w:val="1E293B"/>
                <w:sz w:val="17"/>
              </w:rPr>
              <w:t>, Host State Governments (Lagos, Ogun, Delta).</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Grants 15–20 year concession under ICRC Model PPP Agreement (</w:t>
            </w:r>
            <w:hyperlink r:id="rId48">
              <w:r>
                <w:rPr>
                  <w:rFonts w:ascii="Calibri" w:hAnsi="Calibri"/>
                  <w:color w:val="B45309"/>
                  <w:u w:val="single"/>
                  <w:sz w:val="17"/>
                </w:rPr>
                <w:t>NAN</w:t>
              </w:r>
            </w:hyperlink>
            <w:r>
              <w:rPr>
                <w:rFonts w:ascii="Calibri" w:hAnsi="Calibri"/>
                <w:color w:val="1E293B"/>
                <w:sz w:val="17"/>
              </w:rPr>
              <w:t>); provides titled land, Critical National Infrastructure security, and sovereign step-in rights.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2. Gas Supplier &amp; Captive Power IPP</w:t>
            </w:r>
            <w:r>
              <w:rPr>
                <w:rFonts w:ascii="Calibri" w:hAnsi="Calibri"/>
                <w:color w:val="1E293B"/>
                <w:sz w:val="17"/>
              </w:rPr>
              <w:t xml:space="preserve"> </w:t>
            </w:r>
            <w:r>
              <w:rPr>
                <w:rFonts w:ascii="Calibri" w:hAnsi="Calibri"/>
                <w:i/>
                <w:color w:val="1E293B"/>
                <w:sz w:val="17"/>
              </w:rPr>
              <w:t>(Fuel &amp; Generation Risk)</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NNPC Gas Infrastructure, </w:t>
            </w:r>
            <w:r>
              <w:rPr>
                <w:rFonts w:ascii="Calibri" w:hAnsi="Calibri"/>
                <w:b/>
                <w:color w:val="1E293B"/>
                <w:sz w:val="17"/>
              </w:rPr>
              <w:t>Tetracore</w:t>
            </w:r>
            <w:r>
              <w:rPr>
                <w:rFonts w:ascii="Calibri" w:hAnsi="Calibri"/>
                <w:color w:val="1E293B"/>
                <w:sz w:val="17"/>
              </w:rPr>
              <w:t>, Seplat, or independent gas IPPs licensed by NUPRC &amp; NERC.</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15–20 year firm gas-supply and power-purchase agreement (ELPS/WAGP pipeline + solar/BESS hybrid) delivering power at </w:t>
            </w:r>
            <w:r>
              <w:rPr>
                <w:rFonts w:ascii="Calibri" w:hAnsi="Calibri"/>
                <w:b/>
                <w:color w:val="1E293B"/>
                <w:sz w:val="17"/>
              </w:rPr>
              <w:t>$0.04–$0.06/kWh</w:t>
            </w:r>
            <w:r>
              <w:rPr>
                <w:rFonts w:ascii="Calibri" w:hAnsi="Calibri"/>
                <w:color w:val="1E293B"/>
                <w:sz w:val="17"/>
              </w:rPr>
              <w:t xml:space="preserve"> with liquidated damages for fuel interruption.</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3. Public Offtaker &amp; Reserve Anchor</w:t>
            </w:r>
            <w:r>
              <w:rPr>
                <w:rFonts w:ascii="Calibri" w:hAnsi="Calibri"/>
                <w:color w:val="1E293B"/>
                <w:sz w:val="17"/>
              </w:rPr>
              <w:t xml:space="preserve"> </w:t>
            </w:r>
            <w:r>
              <w:rPr>
                <w:rFonts w:ascii="Calibri" w:hAnsi="Calibri"/>
                <w:i/>
                <w:color w:val="1E293B"/>
                <w:sz w:val="17"/>
              </w:rPr>
              <w:t>(Public Demand Risk)</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National AI Trust</w:t>
            </w:r>
            <w:r>
              <w:rPr>
                <w:rFonts w:ascii="Calibri" w:hAnsi="Calibri"/>
                <w:color w:val="1E293B"/>
                <w:sz w:val="17"/>
              </w:rPr>
              <w:t xml:space="preserve"> &amp; </w:t>
            </w:r>
            <w:r>
              <w:rPr>
                <w:rFonts w:ascii="Calibri" w:hAnsi="Calibri"/>
                <w:b/>
                <w:color w:val="1E293B"/>
                <w:sz w:val="17"/>
              </w:rPr>
              <w:t>NITDA</w:t>
            </w:r>
            <w:r>
              <w:rPr>
                <w:rFonts w:ascii="Calibri" w:hAnsi="Calibri"/>
                <w:color w:val="1E293B"/>
                <w:sz w:val="17"/>
              </w:rPr>
              <w:t xml:space="preserve"> (funded by the ring-fenced AI Infrastructure Fund).</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Signs a capped, naira-denominated </w:t>
            </w:r>
            <w:r>
              <w:rPr>
                <w:rFonts w:ascii="Calibri" w:hAnsi="Calibri"/>
                <w:b/>
                <w:color w:val="1E293B"/>
                <w:sz w:val="17"/>
              </w:rPr>
              <w:t>take-or-pay availability contract for 20% of zone capacity</w:t>
            </w:r>
            <w:r>
              <w:rPr>
                <w:rFonts w:ascii="Calibri" w:hAnsi="Calibri"/>
                <w:color w:val="1E293B"/>
                <w:sz w:val="17"/>
              </w:rPr>
              <w:t xml:space="preserve">, payable strictly when independent Ledger telemetry verifies </w:t>
            </w:r>
            <w:r>
              <w:rPr>
                <w:rFonts w:ascii="Calibri" w:hAnsi="Calibri"/>
                <w:b/>
                <w:color w:val="1E293B"/>
                <w:sz w:val="17"/>
              </w:rPr>
              <w:t>&gt;=99.9% uptime</w:t>
            </w:r>
            <w:r>
              <w:rPr>
                <w:rFonts w:ascii="Calibri" w:hAnsi="Calibri"/>
                <w:color w:val="1E293B"/>
                <w:sz w:val="17"/>
              </w:rPr>
              <w:t>.</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4. Blended-Finance Lenders &amp; FX Guarantors</w:t>
            </w:r>
            <w:r>
              <w:rPr>
                <w:rFonts w:ascii="Calibri" w:hAnsi="Calibri"/>
                <w:color w:val="1E293B"/>
                <w:sz w:val="17"/>
              </w:rPr>
              <w:t xml:space="preserve"> </w:t>
            </w:r>
            <w:r>
              <w:rPr>
                <w:rFonts w:ascii="Calibri" w:hAnsi="Calibri"/>
                <w:i/>
                <w:color w:val="1E293B"/>
                <w:sz w:val="17"/>
              </w:rPr>
              <w:t>(Currency &amp; Political Risk)</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NSIA</w:t>
            </w:r>
            <w:r>
              <w:rPr>
                <w:rFonts w:ascii="Calibri" w:hAnsi="Calibri"/>
                <w:color w:val="1E293B"/>
                <w:sz w:val="17"/>
              </w:rPr>
              <w:t xml:space="preserve">, AfDB, IFC, US DFC, BII, </w:t>
            </w:r>
            <w:r>
              <w:rPr>
                <w:rFonts w:ascii="Calibri" w:hAnsi="Calibri"/>
                <w:b/>
                <w:color w:val="1E293B"/>
                <w:sz w:val="17"/>
              </w:rPr>
              <w:t>$60B Africa AI Fund</w:t>
            </w:r>
            <w:r>
              <w:rPr>
                <w:rFonts w:ascii="Calibri" w:hAnsi="Calibri"/>
                <w:color w:val="1E293B"/>
                <w:sz w:val="17"/>
              </w:rPr>
              <w:t xml:space="preserve"> (</w:t>
            </w:r>
            <w:hyperlink r:id="rId56">
              <w:r>
                <w:rPr>
                  <w:rFonts w:ascii="Calibri" w:hAnsi="Calibri"/>
                  <w:color w:val="B45309"/>
                  <w:u w:val="single"/>
                  <w:sz w:val="17"/>
                </w:rPr>
                <w:t>ORF</w:t>
              </w:r>
            </w:hyperlink>
            <w:r>
              <w:rPr>
                <w:rFonts w:ascii="Calibri" w:hAnsi="Calibri"/>
                <w:color w:val="1E293B"/>
                <w:sz w:val="17"/>
              </w:rPr>
              <w:t>), domestic commercial banks.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Provides senior/mezzanine project debt, MIGA political-risk insurance, and the </w:t>
            </w:r>
            <w:r>
              <w:rPr>
                <w:rFonts w:ascii="Calibri" w:hAnsi="Calibri"/>
                <w:b/>
                <w:color w:val="1E293B"/>
                <w:sz w:val="17"/>
              </w:rPr>
              <w:t>$80M–$130M USD/NGN FX Liquidity Reserve Account</w:t>
            </w:r>
            <w:r>
              <w:rPr>
                <w:rFonts w:ascii="Calibri" w:hAnsi="Calibri"/>
                <w:color w:val="1E293B"/>
                <w:sz w:val="17"/>
              </w:rPr>
              <w:t xml:space="preserve"> bridging naira public tariffs to dollar silicon leases.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5. Data-Centre EPC &amp; Facility Operator</w:t>
            </w:r>
            <w:r>
              <w:rPr>
                <w:rFonts w:ascii="Calibri" w:hAnsi="Calibri"/>
                <w:color w:val="1E293B"/>
                <w:sz w:val="17"/>
              </w:rPr>
              <w:t xml:space="preserve"> </w:t>
            </w:r>
            <w:r>
              <w:rPr>
                <w:rFonts w:ascii="Calibri" w:hAnsi="Calibri"/>
                <w:i/>
                <w:color w:val="1E293B"/>
                <w:sz w:val="17"/>
              </w:rPr>
              <w:t>(Construction &amp; SLA Risk)</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Kasi Cloud, Africa Data Centres (Cassava), MTN Genova, Airtel Nxtra, Rack Centre, OADC</w:t>
            </w:r>
            <w:r>
              <w:rPr>
                <w:rFonts w:ascii="Calibri" w:hAnsi="Calibri"/>
                <w:color w:val="1E293B"/>
                <w:sz w:val="17"/>
              </w:rPr>
              <w:t>.</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Bears fixed-price turnkey construction risk, delay penalties, and closed-loop liquid cooling PUE (&lt;1.28) performance; retains 100% of commercial revenue up to agreed equity IRR hurdle, sharing upside thereafter.</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6. Silicon, Server &amp; Cloud Vendors</w:t>
            </w:r>
            <w:r>
              <w:rPr>
                <w:rFonts w:ascii="Calibri" w:hAnsi="Calibri"/>
                <w:color w:val="1E293B"/>
                <w:sz w:val="17"/>
              </w:rPr>
              <w:t xml:space="preserve"> </w:t>
            </w:r>
            <w:r>
              <w:rPr>
                <w:rFonts w:ascii="Calibri" w:hAnsi="Calibri"/>
                <w:i/>
                <w:color w:val="1E293B"/>
                <w:sz w:val="17"/>
              </w:rPr>
              <w:t>(Hardware Obsolescence Risk)</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NVIDIA (via Cassava AI Factory), AMD</w:t>
            </w:r>
            <w:r>
              <w:rPr>
                <w:rFonts w:ascii="Calibri" w:hAnsi="Calibri"/>
                <w:color w:val="1E293B"/>
                <w:sz w:val="17"/>
              </w:rPr>
              <w:t>, server OEMs, and independent non-US hardware vendors.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Supplies accelerators on </w:t>
            </w:r>
            <w:r>
              <w:rPr>
                <w:rFonts w:ascii="Calibri" w:hAnsi="Calibri"/>
                <w:b/>
                <w:color w:val="1E293B"/>
                <w:sz w:val="17"/>
              </w:rPr>
              <w:t>3.5–4 year master lease and hardware refresh schedules</w:t>
            </w:r>
            <w:r>
              <w:rPr>
                <w:rFonts w:ascii="Calibri" w:hAnsi="Calibri"/>
                <w:color w:val="1E293B"/>
                <w:sz w:val="17"/>
              </w:rPr>
              <w:t>; contracts prohibit remote kill-switches and mandate onshore weight/license escrow.</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7. Commercial &amp; Regional Offtakers</w:t>
            </w:r>
            <w:r>
              <w:rPr>
                <w:rFonts w:ascii="Calibri" w:hAnsi="Calibri"/>
                <w:color w:val="1E293B"/>
                <w:sz w:val="17"/>
              </w:rPr>
              <w:t xml:space="preserve"> </w:t>
            </w:r>
            <w:r>
              <w:rPr>
                <w:rFonts w:ascii="Calibri" w:hAnsi="Calibri"/>
                <w:i/>
                <w:color w:val="1E293B"/>
                <w:sz w:val="17"/>
              </w:rPr>
              <w:t>(80% Market Demand Risk)</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Nigerian banks, fintechs, telcos, multinationals, and </w:t>
            </w:r>
            <w:r>
              <w:rPr>
                <w:rFonts w:ascii="Calibri" w:hAnsi="Calibri"/>
                <w:b/>
                <w:color w:val="1E293B"/>
                <w:sz w:val="17"/>
              </w:rPr>
              <w:t>ECOWAS / AU pooled member states</w:t>
            </w:r>
            <w:r>
              <w:rPr>
                <w:rFonts w:ascii="Calibri" w:hAnsi="Calibri"/>
                <w:color w:val="1E293B"/>
                <w:sz w:val="17"/>
              </w:rPr>
              <w:t>.</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Purchases the remaining 80% commercial capacity on multi-year reserved or spot contracts, generating commercial cashflow and regional hard-currency inflows.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8. Public Ledger Validators</w:t>
            </w:r>
            <w:r>
              <w:rPr>
                <w:rFonts w:ascii="Calibri" w:hAnsi="Calibri"/>
                <w:color w:val="1E293B"/>
                <w:sz w:val="17"/>
              </w:rPr>
              <w:t xml:space="preserve"> </w:t>
            </w:r>
            <w:r>
              <w:rPr>
                <w:rFonts w:ascii="Calibri" w:hAnsi="Calibri"/>
                <w:i/>
                <w:color w:val="1E293B"/>
                <w:sz w:val="17"/>
              </w:rPr>
              <w:t>(Audit &amp; Integrity Verification)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Office of the Auditor-General, ICRC, DFI observer nodes, and accredited civil-society organisations.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Operates permissioned validator nodes logging live megawatts, GPU uptime, availability payments, SLA deductions, and quarterly audit findings in public view.</w:t>
            </w:r>
          </w:p>
        </w:tc>
      </w:tr>
    </w:tbl>
    <w:p>
      <w:pPr>
        <w:spacing w:before="0" w:after="120"/>
      </w:pPr>
    </w:p>
    <w:p>
      <w:pPr>
        <w:keepNext/>
        <w:spacing w:before="220" w:after="80"/>
      </w:pPr>
      <w:r>
        <w:rPr>
          <w:rFonts w:ascii="Calibri" w:hAnsi="Calibri"/>
          <w:b/>
          <w:color w:val="0A3D1F"/>
          <w:sz w:val="23"/>
        </w:rPr>
        <w:t>11.3 Strict entity-level export-control ring-fencing: eliminating secondary-sanction contagion</w:t>
      </w:r>
    </w:p>
    <w:p>
      <w:pPr>
        <w:spacing w:before="60" w:after="120" w:line="276" w:lineRule="auto"/>
      </w:pPr>
      <w:r>
        <w:rPr>
          <w:rFonts w:ascii="Calibri" w:hAnsi="Calibri"/>
          <w:color w:val="1E293B"/>
          <w:sz w:val="21"/>
        </w:rPr>
        <w:t xml:space="preserve">A critical red-team vulnerability in any multi-aligned compute strategy is </w:t>
      </w:r>
      <w:r>
        <w:rPr>
          <w:rFonts w:ascii="Calibri" w:hAnsi="Calibri"/>
          <w:b/>
          <w:color w:val="1E293B"/>
          <w:sz w:val="21"/>
        </w:rPr>
        <w:t>entity-level sanction contagion</w:t>
      </w:r>
      <w:r>
        <w:rPr>
          <w:rFonts w:ascii="Calibri" w:hAnsi="Calibri"/>
          <w:color w:val="1E293B"/>
          <w:sz w:val="21"/>
        </w:rPr>
        <w:t>. As noted in Section 1, May 2025 US Bureau of Industry and Security (BIS) guidance treats the deployment or servicing of Huawei Ascend chips anywhere in the world as a violation of US export controls (</w:t>
      </w:r>
      <w:hyperlink r:id="rId31">
        <w:r>
          <w:rPr>
            <w:rFonts w:ascii="Calibri" w:hAnsi="Calibri"/>
            <w:color w:val="B45309"/>
            <w:u w:val="single"/>
            <w:sz w:val="21"/>
          </w:rPr>
          <w:t>DCD</w:t>
        </w:r>
      </w:hyperlink>
      <w:r>
        <w:rPr>
          <w:rFonts w:ascii="Calibri" w:hAnsi="Calibri"/>
          <w:color w:val="1E293B"/>
          <w:sz w:val="21"/>
        </w:rPr>
        <w:t xml:space="preserve">). Merely placing US GPUs (such as NVIDIA H100/B200 clusters) and Chinese accelerators (such as Huawei Ascend clusters) in separate rooms inside the </w:t>
      </w:r>
      <w:r>
        <w:rPr>
          <w:rFonts w:ascii="Calibri" w:hAnsi="Calibri"/>
          <w:i/>
          <w:color w:val="1E293B"/>
          <w:sz w:val="21"/>
        </w:rPr>
        <w:t>same</w:t>
      </w:r>
      <w:r>
        <w:rPr>
          <w:rFonts w:ascii="Calibri" w:hAnsi="Calibri"/>
          <w:color w:val="1E293B"/>
          <w:sz w:val="21"/>
        </w:rPr>
        <w:t xml:space="preserve"> corporate SPV or under a single procurement balance sheet will fail compliance review by US export counsel, freezing access to NVIDIA silicon (including Cassava's AI Factory expansion), US cloud software, and US DFI/IFC financing.</w:t>
      </w:r>
    </w:p>
    <w:p>
      <w:pPr>
        <w:spacing w:before="60" w:after="120" w:line="276" w:lineRule="auto"/>
      </w:pPr>
      <w:r>
        <w:rPr>
          <w:rFonts w:ascii="Calibri" w:hAnsi="Calibri"/>
          <w:color w:val="1E293B"/>
          <w:sz w:val="21"/>
        </w:rPr>
        <w:t xml:space="preserve">To preserve genuine sovereign multi-alignment without triggering export-control contagion, this strategy enforces </w:t>
      </w:r>
      <w:r>
        <w:rPr>
          <w:rFonts w:ascii="Calibri" w:hAnsi="Calibri"/>
          <w:b/>
          <w:color w:val="1E293B"/>
          <w:sz w:val="21"/>
        </w:rPr>
        <w:t>four-tier entity-level separation</w:t>
      </w:r>
      <w:r>
        <w:rPr>
          <w:rFonts w:ascii="Calibri" w:hAnsi="Calibri"/>
          <w:color w:val="1E293B"/>
          <w:sz w:val="21"/>
        </w:rPr>
        <w:t>:</w:t>
      </w:r>
    </w:p>
    <w:p>
      <w:pPr>
        <w:spacing w:before="50" w:after="70"/>
        <w:ind w:left="360" w:hanging="360"/>
      </w:pPr>
      <w:r>
        <w:rPr>
          <w:rFonts w:ascii="Calibri" w:hAnsi="Calibri"/>
          <w:b/>
          <w:color w:val="0A3D1F"/>
          <w:sz w:val="20"/>
        </w:rPr>
        <w:t xml:space="preserve">1. </w:t>
      </w:r>
      <w:r>
        <w:rPr>
          <w:rFonts w:ascii="Calibri" w:hAnsi="Calibri"/>
          <w:b/>
          <w:color w:val="1E293B"/>
          <w:sz w:val="20"/>
        </w:rPr>
        <w:t>Separate Legal &amp; Corporate Entities (SPV-A vs. SPV-B):</w:t>
      </w:r>
      <w:r>
        <w:rPr>
          <w:rFonts w:ascii="Calibri" w:hAnsi="Calibri"/>
          <w:color w:val="1E293B"/>
          <w:sz w:val="20"/>
        </w:rPr>
        <w:t xml:space="preserve"> Each Energy-Compute Zone is legally partitioned into distinct, unaffiliated corporate concession SPVs:</w:t>
      </w:r>
    </w:p>
    <w:p>
      <w:pPr>
        <w:pStyle w:val="ListBullet"/>
        <w:spacing w:before="40" w:after="60"/>
      </w:pPr>
      <w:r>
        <w:rPr>
          <w:rFonts w:ascii="Calibri" w:hAnsi="Calibri"/>
          <w:b/>
          <w:color w:val="1E293B"/>
          <w:sz w:val="20"/>
        </w:rPr>
        <w:t>SPV-A (US / Allied Export-Control Compliant Concessions):</w:t>
      </w:r>
      <w:r>
        <w:rPr>
          <w:rFonts w:ascii="Calibri" w:hAnsi="Calibri"/>
          <w:color w:val="1E293B"/>
          <w:sz w:val="20"/>
        </w:rPr>
        <w:t xml:space="preserve"> Anchored by operators such as </w:t>
      </w:r>
      <w:r>
        <w:rPr>
          <w:rFonts w:ascii="Calibri" w:hAnsi="Calibri"/>
          <w:b/>
          <w:color w:val="1E293B"/>
          <w:sz w:val="20"/>
        </w:rPr>
        <w:t>Kasi Cloud, Cassava–NVIDIA, Airtel Nxtra, MTN Genova, Rack Centre, and OADC</w:t>
      </w:r>
      <w:r>
        <w:rPr>
          <w:rFonts w:ascii="Calibri" w:hAnsi="Calibri"/>
          <w:color w:val="1E293B"/>
          <w:sz w:val="20"/>
        </w:rPr>
        <w:t xml:space="preserve"> and co-financed by Western/multilateral DFIs and NSIA. SPV-A operates under a strict BIS export-control compliance charter with </w:t>
      </w:r>
      <w:r>
        <w:rPr>
          <w:rFonts w:ascii="Calibri" w:hAnsi="Calibri"/>
          <w:b/>
          <w:color w:val="1E293B"/>
          <w:sz w:val="20"/>
        </w:rPr>
        <w:t>zero Huawei Ascend or BIS Entity-List hardware, switches, or firmware</w:t>
      </w:r>
      <w:r>
        <w:rPr>
          <w:rFonts w:ascii="Calibri" w:hAnsi="Calibri"/>
          <w:color w:val="1E293B"/>
          <w:sz w:val="20"/>
        </w:rPr>
        <w:t xml:space="preserve"> on its balance sheet, premises, or management network.</w:t>
      </w:r>
    </w:p>
    <w:p>
      <w:pPr>
        <w:pStyle w:val="ListBullet"/>
        <w:spacing w:before="40" w:after="60"/>
      </w:pPr>
      <w:r>
        <w:rPr>
          <w:rFonts w:ascii="Calibri" w:hAnsi="Calibri"/>
          <w:b/>
          <w:color w:val="1E293B"/>
          <w:sz w:val="20"/>
        </w:rPr>
        <w:t>SPV-B (Independent Non-US / Chinese Stack Concessions):</w:t>
      </w:r>
      <w:r>
        <w:rPr>
          <w:rFonts w:ascii="Calibri" w:hAnsi="Calibri"/>
          <w:color w:val="1E293B"/>
          <w:sz w:val="20"/>
        </w:rPr>
        <w:t xml:space="preserve"> Where commercial consortia (such as the announced Tetracore–Huawei–Inspirive Ogun partnership (</w:t>
      </w:r>
      <w:hyperlink r:id="rId41">
        <w:r>
          <w:rPr>
            <w:rFonts w:ascii="Calibri" w:hAnsi="Calibri"/>
            <w:color w:val="B45309"/>
            <w:u w:val="single"/>
            <w:sz w:val="20"/>
          </w:rPr>
          <w:t>News Ghana</w:t>
        </w:r>
      </w:hyperlink>
      <w:r>
        <w:rPr>
          <w:rFonts w:ascii="Calibri" w:hAnsi="Calibri"/>
          <w:color w:val="1E293B"/>
          <w:sz w:val="20"/>
        </w:rPr>
        <w:t xml:space="preserve">)) deploy Chinese accelerators, they do so through an </w:t>
      </w:r>
      <w:r>
        <w:rPr>
          <w:rFonts w:ascii="Calibri" w:hAnsi="Calibri"/>
          <w:b/>
          <w:color w:val="1E293B"/>
          <w:sz w:val="20"/>
        </w:rPr>
        <w:t>entirely separate corporate concessionaire (SPV-B)</w:t>
      </w:r>
      <w:r>
        <w:rPr>
          <w:rFonts w:ascii="Calibri" w:hAnsi="Calibri"/>
          <w:color w:val="1E293B"/>
          <w:sz w:val="20"/>
        </w:rPr>
        <w:t xml:space="preserve"> with separate equity sponsors, separate banking facilities, separate procurement entities, and zero shared board governance or technical staff with SPV-A.</w:t>
      </w:r>
    </w:p>
    <w:p>
      <w:pPr>
        <w:spacing w:before="50" w:after="70"/>
        <w:ind w:left="360" w:hanging="360"/>
      </w:pPr>
      <w:r>
        <w:rPr>
          <w:rFonts w:ascii="Calibri" w:hAnsi="Calibri"/>
          <w:b/>
          <w:color w:val="0A3D1F"/>
          <w:sz w:val="20"/>
        </w:rPr>
        <w:t xml:space="preserve">2. </w:t>
      </w:r>
      <w:r>
        <w:rPr>
          <w:rFonts w:ascii="Calibri" w:hAnsi="Calibri"/>
          <w:b/>
          <w:color w:val="1E293B"/>
          <w:sz w:val="20"/>
        </w:rPr>
        <w:t>Physical, Power-Substation, and Network Air-Gapping:</w:t>
      </w:r>
      <w:r>
        <w:rPr>
          <w:rFonts w:ascii="Calibri" w:hAnsi="Calibri"/>
          <w:color w:val="1E293B"/>
          <w:sz w:val="20"/>
        </w:rPr>
        <w:t xml:space="preserve"> SPV-A and SPV-B facilities sit on separate land parcels with independent security perimeters, separate step-down transformer feeders, and physically separate dark-fibre routing to IXPN. No high-speed RDMA/InfiniBand or internal management network ever bridges the two entities.</w:t>
      </w:r>
    </w:p>
    <w:p>
      <w:pPr>
        <w:spacing w:before="50" w:after="70"/>
        <w:ind w:left="360" w:hanging="360"/>
      </w:pPr>
      <w:r>
        <w:rPr>
          <w:rFonts w:ascii="Calibri" w:hAnsi="Calibri"/>
          <w:b/>
          <w:color w:val="0A3D1F"/>
          <w:sz w:val="20"/>
        </w:rPr>
        <w:t xml:space="preserve">3. </w:t>
      </w:r>
      <w:r>
        <w:rPr>
          <w:rFonts w:ascii="Calibri" w:hAnsi="Calibri"/>
          <w:b/>
          <w:color w:val="1E293B"/>
          <w:sz w:val="20"/>
        </w:rPr>
        <w:t>Sovereign Procurement Firewall:</w:t>
      </w:r>
      <w:r>
        <w:rPr>
          <w:rFonts w:ascii="Calibri" w:hAnsi="Calibri"/>
          <w:color w:val="1E293B"/>
          <w:sz w:val="20"/>
        </w:rPr>
        <w:t xml:space="preserve"> The </w:t>
      </w:r>
      <w:r>
        <w:rPr>
          <w:rFonts w:ascii="Calibri" w:hAnsi="Calibri"/>
          <w:b/>
          <w:color w:val="1E293B"/>
          <w:sz w:val="20"/>
        </w:rPr>
        <w:t>National AI Trust</w:t>
      </w:r>
      <w:r>
        <w:rPr>
          <w:rFonts w:ascii="Calibri" w:hAnsi="Calibri"/>
          <w:color w:val="1E293B"/>
          <w:sz w:val="20"/>
        </w:rPr>
        <w:t xml:space="preserve"> purchases public compute from certified providers purely as a standard commercial customer buying inference tokens (API calls) over public internet exchange points, never taking title to restricted hardware or co-mingling vendor maintenance contracts.</w:t>
      </w:r>
    </w:p>
    <w:p>
      <w:pPr>
        <w:spacing w:before="50" w:after="70"/>
        <w:ind w:left="360" w:hanging="360"/>
      </w:pPr>
      <w:r>
        <w:rPr>
          <w:rFonts w:ascii="Calibri" w:hAnsi="Calibri"/>
          <w:b/>
          <w:color w:val="0A3D1F"/>
          <w:sz w:val="20"/>
        </w:rPr>
        <w:t xml:space="preserve">4. </w:t>
      </w:r>
      <w:r>
        <w:rPr>
          <w:rFonts w:ascii="Calibri" w:hAnsi="Calibri"/>
          <w:b/>
          <w:color w:val="1E293B"/>
          <w:sz w:val="20"/>
        </w:rPr>
        <w:t>Model-Agnostic Open-Standard Application Layer:</w:t>
      </w:r>
      <w:r>
        <w:rPr>
          <w:rFonts w:ascii="Calibri" w:hAnsi="Calibri"/>
          <w:color w:val="1E293B"/>
          <w:sz w:val="20"/>
        </w:rPr>
        <w:t xml:space="preserve"> Every Nigerian government application (Annex A cocoa advisory, Annex B trade second brain, tax, health) is built on open-weight models (Llama, Qwen, DeepSeek, Mistral, and NCAIR local-language derivatives) behind an open-standard API gateway. If any foreign government suspends access to one vendor stack, public workloads fail over automatically to an alternative domestic SPV within hours.</w:t>
      </w:r>
    </w:p>
    <w:p>
      <w:pPr>
        <w:keepNext/>
        <w:spacing w:before="320" w:after="120"/>
        <w:pBdr>
          <w:bottom w:val="single" w:sz="12" w:space="4" w:color="B45309"/>
        </w:pBdr>
      </w:pPr>
      <w:r>
        <w:rPr>
          <w:rFonts w:ascii="Calibri" w:hAnsi="Calibri"/>
          <w:b/>
          <w:color w:val="0A3D1F"/>
          <w:sz w:val="29"/>
        </w:rPr>
        <w:t>12. Funding the emergency: the 3-tier AI infrastructure tax with readiness-gated phase-in</w:t>
      </w:r>
    </w:p>
    <w:p>
      <w:pPr>
        <w:spacing w:before="60" w:after="120" w:line="276" w:lineRule="auto"/>
      </w:pPr>
      <w:r>
        <w:rPr>
          <w:rFonts w:ascii="Calibri" w:hAnsi="Calibri"/>
          <w:color w:val="1E293B"/>
          <w:sz w:val="21"/>
        </w:rPr>
        <w:t xml:space="preserve">A dedicated fiscal stream is required to capitalise the </w:t>
      </w:r>
      <w:r>
        <w:rPr>
          <w:rFonts w:ascii="Calibri" w:hAnsi="Calibri"/>
          <w:b/>
          <w:color w:val="1E293B"/>
          <w:sz w:val="21"/>
        </w:rPr>
        <w:t>AI Infrastructure Fund</w:t>
      </w:r>
      <w:r>
        <w:rPr>
          <w:rFonts w:ascii="Calibri" w:hAnsi="Calibri"/>
          <w:color w:val="1E293B"/>
          <w:sz w:val="21"/>
        </w:rPr>
        <w:t xml:space="preserve"> ($65M–$110M/year, or $325M–$550M over five years), which pays the naira availability payments for the 20% Sovereign Reserve, funds the 52 Oracles and local-language tokenizers, and seeds the first-loss FX liquidity buffer. However, fiscal design in Nigeria must learn from two recent policy reversals:</w:t>
      </w:r>
    </w:p>
    <w:p>
      <w:pPr>
        <w:spacing w:before="50" w:after="70"/>
        <w:ind w:left="360" w:hanging="360"/>
      </w:pPr>
      <w:r>
        <w:rPr>
          <w:rFonts w:ascii="Calibri" w:hAnsi="Calibri"/>
          <w:b/>
          <w:color w:val="0A3D1F"/>
          <w:sz w:val="20"/>
        </w:rPr>
        <w:t xml:space="preserve">1. </w:t>
      </w:r>
      <w:r>
        <w:rPr>
          <w:rFonts w:ascii="Calibri" w:hAnsi="Calibri"/>
          <w:color w:val="1E293B"/>
          <w:sz w:val="20"/>
        </w:rPr>
        <w:t xml:space="preserve">In May 2024, the Central Bank of Nigeria was forced to withdraw the </w:t>
      </w:r>
      <w:r>
        <w:rPr>
          <w:rFonts w:ascii="Calibri" w:hAnsi="Calibri"/>
          <w:b/>
          <w:color w:val="1E293B"/>
          <w:sz w:val="20"/>
        </w:rPr>
        <w:t>0.5% cybersecurity levy</w:t>
      </w:r>
      <w:r>
        <w:rPr>
          <w:rFonts w:ascii="Calibri" w:hAnsi="Calibri"/>
          <w:color w:val="1E293B"/>
          <w:sz w:val="20"/>
        </w:rPr>
        <w:t xml:space="preserve"> on electronic banking transactions within days following intense public and legislative backlash (</w:t>
      </w:r>
      <w:hyperlink r:id="rId64">
        <w:r>
          <w:rPr>
            <w:rFonts w:ascii="Calibri" w:hAnsi="Calibri"/>
            <w:color w:val="B45309"/>
            <w:u w:val="single"/>
            <w:sz w:val="20"/>
          </w:rPr>
          <w:t>Techloy</w:t>
        </w:r>
      </w:hyperlink>
      <w:r>
        <w:rPr>
          <w:rFonts w:ascii="Calibri" w:hAnsi="Calibri"/>
          <w:color w:val="1E293B"/>
          <w:sz w:val="20"/>
        </w:rPr>
        <w:t>).</w:t>
      </w:r>
    </w:p>
    <w:p>
      <w:pPr>
        <w:spacing w:before="50" w:after="70"/>
        <w:ind w:left="360" w:hanging="360"/>
      </w:pPr>
      <w:r>
        <w:rPr>
          <w:rFonts w:ascii="Calibri" w:hAnsi="Calibri"/>
          <w:b/>
          <w:color w:val="0A3D1F"/>
          <w:sz w:val="20"/>
        </w:rPr>
        <w:t xml:space="preserve">2. </w:t>
      </w:r>
      <w:r>
        <w:rPr>
          <w:rFonts w:ascii="Calibri" w:hAnsi="Calibri"/>
          <w:color w:val="1E293B"/>
          <w:sz w:val="20"/>
        </w:rPr>
        <w:t xml:space="preserve">In September 2025, the Federal Government suspended a blanket </w:t>
      </w:r>
      <w:r>
        <w:rPr>
          <w:rFonts w:ascii="Calibri" w:hAnsi="Calibri"/>
          <w:b/>
          <w:color w:val="1E293B"/>
          <w:sz w:val="20"/>
        </w:rPr>
        <w:t>4% Free-on-Board (FOB) import levy</w:t>
      </w:r>
      <w:r>
        <w:rPr>
          <w:rFonts w:ascii="Calibri" w:hAnsi="Calibri"/>
          <w:color w:val="1E293B"/>
          <w:sz w:val="20"/>
        </w:rPr>
        <w:t xml:space="preserve"> after manufacturers and trade groups warned it would stoke inflation and penalise industrial inputs (</w:t>
      </w:r>
      <w:hyperlink r:id="rId65">
        <w:r>
          <w:rPr>
            <w:rFonts w:ascii="Calibri" w:hAnsi="Calibri"/>
            <w:color w:val="B45309"/>
            <w:u w:val="single"/>
            <w:sz w:val="20"/>
          </w:rPr>
          <w:t>TimesLive</w:t>
        </w:r>
      </w:hyperlink>
      <w:r>
        <w:rPr>
          <w:rFonts w:ascii="Calibri" w:hAnsi="Calibri"/>
          <w:color w:val="1E293B"/>
          <w:sz w:val="20"/>
        </w:rPr>
        <w:t>).</w:t>
      </w:r>
    </w:p>
    <w:p>
      <w:pPr>
        <w:spacing w:before="50" w:after="70"/>
        <w:ind w:left="360" w:hanging="360"/>
      </w:pPr>
      <w:r>
        <w:rPr>
          <w:rFonts w:ascii="Calibri" w:hAnsi="Calibri"/>
          <w:b/>
          <w:color w:val="0A3D1F"/>
          <w:sz w:val="20"/>
        </w:rPr>
        <w:t xml:space="preserve">3. </w:t>
      </w:r>
      <w:r>
        <w:rPr>
          <w:rFonts w:ascii="Calibri" w:hAnsi="Calibri"/>
          <w:color w:val="1E293B"/>
          <w:sz w:val="20"/>
        </w:rPr>
        <w:t xml:space="preserve">Meanwhile, Nigeria's </w:t>
      </w:r>
      <w:r>
        <w:rPr>
          <w:rFonts w:ascii="Calibri" w:hAnsi="Calibri"/>
          <w:b/>
          <w:color w:val="1E293B"/>
          <w:sz w:val="20"/>
        </w:rPr>
        <w:t>2025 Tax Reform Acts</w:t>
      </w:r>
      <w:r>
        <w:rPr>
          <w:rFonts w:ascii="Calibri" w:hAnsi="Calibri"/>
          <w:color w:val="1E293B"/>
          <w:sz w:val="20"/>
        </w:rPr>
        <w:t xml:space="preserve"> consolidated multiple earmarked corporate levies into a single </w:t>
      </w:r>
      <w:r>
        <w:rPr>
          <w:rFonts w:ascii="Calibri" w:hAnsi="Calibri"/>
          <w:b/>
          <w:color w:val="1E293B"/>
          <w:sz w:val="20"/>
        </w:rPr>
        <w:t>4% Development Levy</w:t>
      </w:r>
      <w:r>
        <w:rPr>
          <w:rFonts w:ascii="Calibri" w:hAnsi="Calibri"/>
          <w:color w:val="1E293B"/>
          <w:sz w:val="20"/>
        </w:rPr>
        <w:t xml:space="preserve"> on assessable profits from January 2026 (</w:t>
      </w:r>
      <w:hyperlink r:id="rId66">
        <w:r>
          <w:rPr>
            <w:rFonts w:ascii="Calibri" w:hAnsi="Calibri"/>
            <w:color w:val="B45309"/>
            <w:u w:val="single"/>
            <w:sz w:val="20"/>
          </w:rPr>
          <w:t>BusinessDay</w:t>
        </w:r>
      </w:hyperlink>
      <w:r>
        <w:rPr>
          <w:rFonts w:ascii="Calibri" w:hAnsi="Calibri"/>
          <w:color w:val="1E293B"/>
          <w:sz w:val="20"/>
        </w:rPr>
        <w:t xml:space="preserve">; </w:t>
      </w:r>
      <w:hyperlink r:id="rId46">
        <w:r>
          <w:rPr>
            <w:rFonts w:ascii="Calibri" w:hAnsi="Calibri"/>
            <w:color w:val="B45309"/>
            <w:u w:val="single"/>
            <w:sz w:val="20"/>
          </w:rPr>
          <w:t>KPMG</w:t>
        </w:r>
      </w:hyperlink>
      <w:r>
        <w:rPr>
          <w:rFonts w:ascii="Calibri" w:hAnsi="Calibri"/>
          <w:color w:val="1E293B"/>
          <w:sz w:val="20"/>
        </w:rPr>
        <w:t>).</w:t>
      </w:r>
    </w:p>
    <w:p>
      <w:pPr>
        <w:spacing w:before="60" w:after="120" w:line="276" w:lineRule="auto"/>
      </w:pPr>
      <w:r>
        <w:rPr>
          <w:rFonts w:ascii="Calibri" w:hAnsi="Calibri"/>
          <w:color w:val="1E293B"/>
          <w:sz w:val="21"/>
        </w:rPr>
        <w:t xml:space="preserve">To survive politically and avoid taxing Nigerian startups or consumers before domestic GPU capacity is ready, this strategy establishes a </w:t>
      </w:r>
      <w:r>
        <w:rPr>
          <w:rFonts w:ascii="Calibri" w:hAnsi="Calibri"/>
          <w:b/>
          <w:color w:val="1E293B"/>
          <w:sz w:val="21"/>
        </w:rPr>
        <w:t>Three-Tier AI Infrastructure Tax</w:t>
      </w:r>
      <w:r>
        <w:rPr>
          <w:rFonts w:ascii="Calibri" w:hAnsi="Calibri"/>
          <w:color w:val="1E293B"/>
          <w:sz w:val="21"/>
        </w:rPr>
        <w:t xml:space="preserve"> with a </w:t>
      </w:r>
      <w:r>
        <w:rPr>
          <w:rFonts w:ascii="Calibri" w:hAnsi="Calibri"/>
          <w:b/>
          <w:color w:val="1E293B"/>
          <w:sz w:val="21"/>
        </w:rPr>
        <w:t>high SME exemption threshold (NGN 2.5 billion turnover)</w:t>
      </w:r>
      <w:r>
        <w:rPr>
          <w:rFonts w:ascii="Calibri" w:hAnsi="Calibri"/>
          <w:color w:val="1E293B"/>
          <w:sz w:val="21"/>
        </w:rPr>
        <w:t xml:space="preserve"> and a </w:t>
      </w:r>
      <w:r>
        <w:rPr>
          <w:rFonts w:ascii="Calibri" w:hAnsi="Calibri"/>
          <w:b/>
          <w:color w:val="1E293B"/>
          <w:sz w:val="21"/>
        </w:rPr>
        <w:t>readiness-gated step-up schedule</w:t>
      </w:r>
      <w:r>
        <w:rPr>
          <w:rFonts w:ascii="Calibri" w:hAnsi="Calibri"/>
          <w:color w:val="1E293B"/>
          <w:sz w:val="21"/>
        </w:rPr>
        <w:t>:</w:t>
      </w:r>
    </w:p>
    <w:p>
      <w:pPr>
        <w:keepNext/>
        <w:spacing w:before="220" w:after="80"/>
      </w:pPr>
      <w:r>
        <w:rPr>
          <w:rFonts w:ascii="Calibri" w:hAnsi="Calibri"/>
          <w:b/>
          <w:color w:val="B45309"/>
          <w:sz w:val="23"/>
        </w:rPr>
        <w:t>Table 13: The Three-Tier AI Infrastructure Tax Architecture (2027–2031, Sunset on 31 Dec 2031)</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Fiscal Tier &amp; Legal Instrument</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Statutory Base &amp; Collection Mechanism</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Who Pays &amp; Who is Exempt</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Readiness Gate &amp; Indicative Annual Yield</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Tier 1: Statutory Earmark of the Existing 4% Development Levy</w:t>
            </w:r>
            <w:r>
              <w:rPr>
                <w:rFonts w:ascii="Calibri" w:hAnsi="Calibri"/>
                <w:color w:val="1E293B"/>
                <w:sz w:val="17"/>
              </w:rPr>
              <w:t xml:space="preserve"> </w:t>
            </w:r>
            <w:r>
              <w:rPr>
                <w:rFonts w:ascii="Calibri" w:hAnsi="Calibri"/>
                <w:i/>
                <w:color w:val="1E293B"/>
                <w:sz w:val="17"/>
              </w:rPr>
              <w:t>(Core Financing Anchor)</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Statutory allocation of </w:t>
            </w:r>
            <w:r>
              <w:rPr>
                <w:rFonts w:ascii="Calibri" w:hAnsi="Calibri"/>
                <w:b/>
                <w:color w:val="1E293B"/>
                <w:sz w:val="17"/>
              </w:rPr>
              <w:t>0.5 percentage points</w:t>
            </w:r>
            <w:r>
              <w:rPr>
                <w:rFonts w:ascii="Calibri" w:hAnsi="Calibri"/>
                <w:color w:val="1E293B"/>
                <w:sz w:val="17"/>
              </w:rPr>
              <w:t xml:space="preserve"> (i.e., one-eighth) of the existing </w:t>
            </w:r>
            <w:r>
              <w:rPr>
                <w:rFonts w:ascii="Calibri" w:hAnsi="Calibri"/>
                <w:b/>
                <w:color w:val="1E293B"/>
                <w:sz w:val="17"/>
              </w:rPr>
              <w:t>4% Development Levy</w:t>
            </w:r>
            <w:r>
              <w:rPr>
                <w:rFonts w:ascii="Calibri" w:hAnsi="Calibri"/>
                <w:color w:val="1E293B"/>
                <w:sz w:val="17"/>
              </w:rPr>
              <w:t xml:space="preserve"> under the Nigeria Tax Act 2025 (</w:t>
            </w:r>
            <w:hyperlink r:id="rId66">
              <w:r>
                <w:rPr>
                  <w:rFonts w:ascii="Calibri" w:hAnsi="Calibri"/>
                  <w:color w:val="B45309"/>
                  <w:u w:val="single"/>
                  <w:sz w:val="17"/>
                </w:rPr>
                <w:t>BusinessDay</w:t>
              </w:r>
            </w:hyperlink>
            <w:r>
              <w:rPr>
                <w:rFonts w:ascii="Calibri" w:hAnsi="Calibri"/>
                <w:color w:val="1E293B"/>
                <w:sz w:val="17"/>
              </w:rPr>
              <w:t>) to the AI Infrastructure Fund until 2031.</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Large corporations already subject to the Development Levy. </w:t>
            </w:r>
            <w:r>
              <w:rPr>
                <w:rFonts w:ascii="Calibri" w:hAnsi="Calibri"/>
                <w:b/>
                <w:color w:val="1E293B"/>
                <w:sz w:val="17"/>
              </w:rPr>
              <w:t>100% of citizens, small companies, and startups are exempt.</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Immediate (2027–2031):</w:t>
            </w:r>
            <w:r>
              <w:rPr>
                <w:rFonts w:ascii="Calibri" w:hAnsi="Calibri"/>
                <w:color w:val="1E293B"/>
                <w:sz w:val="17"/>
              </w:rPr>
              <w:t xml:space="preserve"> Requires zero new tax rate on businesses; yields an indicative </w:t>
            </w:r>
            <w:r>
              <w:rPr>
                <w:rFonts w:ascii="Calibri" w:hAnsi="Calibri"/>
                <w:b/>
                <w:color w:val="1E293B"/>
                <w:sz w:val="17"/>
              </w:rPr>
              <w:t>$45M – $65M/year</w:t>
            </w:r>
            <w:r>
              <w:rPr>
                <w:rFonts w:ascii="Calibri" w:hAnsi="Calibri"/>
                <w:color w:val="1E293B"/>
                <w:sz w:val="17"/>
              </w:rPr>
              <w:t xml:space="preserve"> securely throughout the 5-year window.</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Tier 2: Phased, Readiness-Gated Offshore Compute Levy</w:t>
            </w:r>
            <w:r>
              <w:rPr>
                <w:rFonts w:ascii="Calibri" w:hAnsi="Calibri"/>
                <w:color w:val="1E293B"/>
                <w:sz w:val="17"/>
              </w:rPr>
              <w:t xml:space="preserve"> </w:t>
            </w:r>
            <w:r>
              <w:rPr>
                <w:rFonts w:ascii="Calibri" w:hAnsi="Calibri"/>
                <w:i/>
                <w:color w:val="1E293B"/>
                <w:sz w:val="17"/>
              </w:rPr>
              <w:t>(Behavioural Repatriation Lever)</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Collected via existing withholding tax (WHT) and </w:t>
            </w:r>
            <w:r>
              <w:rPr>
                <w:rFonts w:ascii="Calibri" w:hAnsi="Calibri"/>
                <w:b/>
                <w:color w:val="1E293B"/>
                <w:sz w:val="17"/>
              </w:rPr>
              <w:t>Significant Economic Presence (SEP)</w:t>
            </w:r>
            <w:r>
              <w:rPr>
                <w:rFonts w:ascii="Calibri" w:hAnsi="Calibri"/>
                <w:color w:val="1E293B"/>
                <w:sz w:val="17"/>
              </w:rPr>
              <w:t xml:space="preserve"> rules (</w:t>
            </w:r>
            <w:hyperlink r:id="rId46">
              <w:r>
                <w:rPr>
                  <w:rFonts w:ascii="Calibri" w:hAnsi="Calibri"/>
                  <w:color w:val="B45309"/>
                  <w:u w:val="single"/>
                  <w:sz w:val="17"/>
                </w:rPr>
                <w:t>KPMG</w:t>
              </w:r>
            </w:hyperlink>
            <w:r>
              <w:rPr>
                <w:rFonts w:ascii="Calibri" w:hAnsi="Calibri"/>
                <w:color w:val="1E293B"/>
                <w:sz w:val="17"/>
              </w:rPr>
              <w:t>) on cross-border payments for foreign cloud, GPU, and AI API services.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 xml:space="preserve">Applies </w:t>
            </w:r>
            <w:r>
              <w:rPr>
                <w:rFonts w:ascii="Calibri" w:hAnsi="Calibri"/>
                <w:b/>
                <w:color w:val="1E293B"/>
                <w:sz w:val="17"/>
              </w:rPr>
              <w:t>only</w:t>
            </w:r>
            <w:r>
              <w:rPr>
                <w:rFonts w:ascii="Calibri" w:hAnsi="Calibri"/>
                <w:color w:val="1E293B"/>
                <w:sz w:val="17"/>
              </w:rPr>
              <w:t xml:space="preserve"> to large enterprises with </w:t>
            </w:r>
            <w:r>
              <w:rPr>
                <w:rFonts w:ascii="Calibri" w:hAnsi="Calibri"/>
                <w:b/>
                <w:color w:val="1E293B"/>
                <w:sz w:val="17"/>
              </w:rPr>
              <w:t>annual turnover &gt;= NGN 2.5 billion (~$1.6M)</w:t>
            </w:r>
            <w:r>
              <w:rPr>
                <w:rFonts w:ascii="Calibri" w:hAnsi="Calibri"/>
                <w:color w:val="1E293B"/>
                <w:sz w:val="17"/>
              </w:rPr>
              <w:t xml:space="preserve"> OR foreign cloud spend </w:t>
            </w:r>
            <w:r>
              <w:rPr>
                <w:rFonts w:ascii="Calibri" w:hAnsi="Calibri"/>
                <w:b/>
                <w:color w:val="1E293B"/>
                <w:sz w:val="17"/>
              </w:rPr>
              <w:t>&gt;$500,000/yr</w:t>
            </w:r>
            <w:r>
              <w:rPr>
                <w:rFonts w:ascii="Calibri" w:hAnsi="Calibri"/>
                <w:color w:val="1E293B"/>
                <w:sz w:val="17"/>
              </w:rPr>
              <w:t xml:space="preserve">. </w:t>
            </w:r>
            <w:r>
              <w:rPr>
                <w:rFonts w:ascii="Calibri" w:hAnsi="Calibri"/>
                <w:b/>
                <w:color w:val="1E293B"/>
                <w:sz w:val="17"/>
              </w:rPr>
              <w:t>100% of startups, SMEs, and universities are exempt.</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Readiness-Gated Phase-In:</w:t>
            </w:r>
            <w:r>
              <w:rPr>
                <w:rFonts w:ascii="Calibri" w:hAnsi="Calibri"/>
                <w:color w:val="1E293B"/>
                <w:sz w:val="17"/>
              </w:rPr>
              <w:br/>
              <w:t xml:space="preserve">• </w:t>
            </w:r>
            <w:r>
              <w:rPr>
                <w:rFonts w:ascii="Calibri" w:hAnsi="Calibri"/>
                <w:b/>
                <w:color w:val="1E293B"/>
                <w:sz w:val="17"/>
              </w:rPr>
              <w:t>2027 (Yr 1): 0.5%</w:t>
            </w:r>
            <w:r>
              <w:rPr>
                <w:rFonts w:ascii="Calibri" w:hAnsi="Calibri"/>
                <w:color w:val="1E293B"/>
                <w:sz w:val="17"/>
              </w:rPr>
              <w:t xml:space="preserve"> registration rate (100% rebated if registered on National Compute Exchange).</w:t>
              <w:br/>
              <w:t xml:space="preserve">• </w:t>
            </w:r>
            <w:r>
              <w:rPr>
                <w:rFonts w:ascii="Calibri" w:hAnsi="Calibri"/>
                <w:b/>
                <w:color w:val="1E293B"/>
                <w:sz w:val="17"/>
              </w:rPr>
              <w:t>2028 (Yr 2): 2.5%</w:t>
            </w:r>
            <w:r>
              <w:rPr>
                <w:rFonts w:ascii="Calibri" w:hAnsi="Calibri"/>
                <w:color w:val="1E293B"/>
                <w:sz w:val="17"/>
              </w:rPr>
              <w:t xml:space="preserve"> (</w:t>
            </w:r>
            <w:r>
              <w:rPr>
                <w:rFonts w:ascii="Calibri" w:hAnsi="Calibri"/>
                <w:i/>
                <w:color w:val="1E293B"/>
                <w:sz w:val="17"/>
              </w:rPr>
              <w:t>activates only after Ledger auditor certifies &gt;=10,000 domestic GPUs at &gt;=99.9% uptime</w:t>
            </w:r>
            <w:r>
              <w:rPr>
                <w:rFonts w:ascii="Calibri" w:hAnsi="Calibri"/>
                <w:color w:val="1E293B"/>
                <w:sz w:val="17"/>
              </w:rPr>
              <w:t>).</w:t>
              <w:br/>
              <w:t xml:space="preserve">• </w:t>
            </w:r>
            <w:r>
              <w:rPr>
                <w:rFonts w:ascii="Calibri" w:hAnsi="Calibri"/>
                <w:b/>
                <w:color w:val="1E293B"/>
                <w:sz w:val="17"/>
              </w:rPr>
              <w:t>2029–2031 (Yrs 3–5): 5.0%</w:t>
            </w:r>
            <w:r>
              <w:rPr>
                <w:rFonts w:ascii="Calibri" w:hAnsi="Calibri"/>
                <w:color w:val="1E293B"/>
                <w:sz w:val="17"/>
              </w:rPr>
              <w:t xml:space="preserve"> (</w:t>
            </w:r>
            <w:r>
              <w:rPr>
                <w:rFonts w:ascii="Calibri" w:hAnsi="Calibri"/>
                <w:i/>
                <w:color w:val="1E293B"/>
                <w:sz w:val="17"/>
              </w:rPr>
              <w:t>activates only when domestic zones meet &lt;=10% price parity with offshore peers</w:t>
            </w:r>
            <w:r>
              <w:rPr>
                <w:rFonts w:ascii="Calibri" w:hAnsi="Calibri"/>
                <w:color w:val="1E293B"/>
                <w:sz w:val="17"/>
              </w:rPr>
              <w:t>).</w:t>
              <w:br/>
              <w:t xml:space="preserve">Yields </w:t>
            </w:r>
            <w:r>
              <w:rPr>
                <w:rFonts w:ascii="Calibri" w:hAnsi="Calibri"/>
                <w:b/>
                <w:color w:val="1E293B"/>
                <w:sz w:val="17"/>
              </w:rPr>
              <w:t>$4M (Yr 1) -&gt; $20M–$35M/yr</w:t>
            </w:r>
            <w:r>
              <w:rPr>
                <w:rFonts w:ascii="Calibri" w:hAnsi="Calibri"/>
                <w:color w:val="1E293B"/>
                <w:sz w:val="17"/>
              </w:rPr>
              <w:t xml:space="preserve">, tapering as workloads move onshore. </w:t>
            </w:r>
            <w:r>
              <w:rPr>
                <w:rFonts w:ascii="Calibri" w:hAnsi="Calibri"/>
                <w:b/>
                <w:color w:val="1E293B"/>
                <w:sz w:val="17"/>
              </w:rPr>
              <w:t>100% Onshore Credit</w:t>
            </w:r>
            <w:r>
              <w:rPr>
                <w:rFonts w:ascii="Calibri" w:hAnsi="Calibri"/>
                <w:color w:val="1E293B"/>
                <w:sz w:val="17"/>
              </w:rPr>
              <w:t xml:space="preserve"> for every naira spent on certified Nigerian compute.</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Tier 3: Targeted Import Adjustment Tax (IAT) on Substitutable Ancillary Goods</w:t>
            </w:r>
            <w:r>
              <w:rPr>
                <w:rFonts w:ascii="Calibri" w:hAnsi="Calibri"/>
                <w:color w:val="1E293B"/>
                <w:sz w:val="17"/>
              </w:rPr>
              <w:t xml:space="preserve"> </w:t>
            </w:r>
            <w:r>
              <w:rPr>
                <w:rFonts w:ascii="Calibri" w:hAnsi="Calibri"/>
                <w:i/>
                <w:color w:val="1E293B"/>
                <w:sz w:val="17"/>
              </w:rPr>
              <w:t>(Supply-Chain Lever)</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Annual </w:t>
            </w:r>
            <w:r>
              <w:rPr>
                <w:rFonts w:ascii="Calibri" w:hAnsi="Calibri"/>
                <w:b/>
                <w:color w:val="1E293B"/>
                <w:sz w:val="17"/>
              </w:rPr>
              <w:t>Fiscal Policy Measures (FPM)</w:t>
            </w:r>
            <w:r>
              <w:rPr>
                <w:rFonts w:ascii="Calibri" w:hAnsi="Calibri"/>
                <w:color w:val="1E293B"/>
                <w:sz w:val="17"/>
              </w:rPr>
              <w:t xml:space="preserve"> surcharge under the ECOWAS Common External Tariff (CET)—which already covers 192 tariff lines in 2026 and steps down from 2027 to 2036 (</w:t>
            </w:r>
            <w:hyperlink r:id="rId67">
              <w:r>
                <w:rPr>
                  <w:rFonts w:ascii="Calibri" w:hAnsi="Calibri"/>
                  <w:color w:val="B45309"/>
                  <w:u w:val="single"/>
                  <w:sz w:val="17"/>
                </w:rPr>
                <w:t>BusinessDay</w:t>
              </w:r>
            </w:hyperlink>
            <w:r>
              <w:rPr>
                <w:rFonts w:ascii="Calibri" w:hAnsi="Calibri"/>
                <w:color w:val="1E293B"/>
                <w:sz w:val="17"/>
              </w:rPr>
              <w:t>)—applied strictly to locally manufacturable ancillary goods (low/medium-voltage cables, sheet-metal server racks, distribution transformers, solar mounting frames).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 xml:space="preserve">Importers of non-ECOWAS substitutable ancillary equipment. </w:t>
            </w:r>
            <w:r>
              <w:rPr>
                <w:rFonts w:ascii="Calibri" w:hAnsi="Calibri"/>
                <w:b/>
                <w:color w:val="1E293B"/>
                <w:sz w:val="17"/>
              </w:rPr>
              <w:t>All GPUs, CPUs, AI servers, high-speed optical transceivers, and liquid-cooling chillers carry 0% customs duty.</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Capacity-Certified &amp; Stepping Down:</w:t>
            </w:r>
            <w:r>
              <w:rPr>
                <w:rFonts w:ascii="Calibri" w:hAnsi="Calibri"/>
                <w:color w:val="1E293B"/>
                <w:sz w:val="17"/>
              </w:rPr>
              <w:t xml:space="preserve"> A tariff line enters Tier 3 only when at least 3 Standards Organisation of Nigeria (SON)-certified domestic manufacturers meet volume/price benchmarks, and steps down by 20% per year until 2031. ECOWAS/AfCFTA origin goods are 100% exempt. Yields </w:t>
            </w:r>
            <w:r>
              <w:rPr>
                <w:rFonts w:ascii="Calibri" w:hAnsi="Calibri"/>
                <w:b/>
                <w:color w:val="1E293B"/>
                <w:sz w:val="17"/>
              </w:rPr>
              <w:t>$10M – $15M/year</w:t>
            </w:r>
            <w:r>
              <w:rPr>
                <w:rFonts w:ascii="Calibri" w:hAnsi="Calibri"/>
                <w:color w:val="1E293B"/>
                <w:sz w:val="17"/>
              </w:rPr>
              <w:t>.</w:t>
            </w:r>
          </w:p>
        </w:tc>
      </w:tr>
    </w:tbl>
    <w:p>
      <w:pPr>
        <w:spacing w:before="0" w:after="120"/>
      </w:pPr>
    </w:p>
    <w:p>
      <w:pPr>
        <w:spacing w:before="60" w:after="120" w:line="276" w:lineRule="auto"/>
      </w:pPr>
      <w:r>
        <w:rPr>
          <w:rFonts w:ascii="Calibri" w:hAnsi="Calibri"/>
          <w:b/>
          <w:color w:val="1E293B"/>
          <w:sz w:val="21"/>
        </w:rPr>
        <w:t>Why this design wins industry support:</w:t>
      </w:r>
      <w:r>
        <w:rPr>
          <w:rFonts w:ascii="Calibri" w:hAnsi="Calibri"/>
          <w:color w:val="1E293B"/>
          <w:sz w:val="21"/>
        </w:rPr>
        <w:t xml:space="preserve"> Raising the Tier-2 exemption threshold from the general NGN 100 million small-company floor to </w:t>
      </w:r>
      <w:r>
        <w:rPr>
          <w:rFonts w:ascii="Calibri" w:hAnsi="Calibri"/>
          <w:b/>
          <w:color w:val="1E293B"/>
          <w:sz w:val="21"/>
        </w:rPr>
        <w:t>NGN 2.5 billion annual turnover (or &gt;$500,000/year in foreign cloud spend)</w:t>
      </w:r>
      <w:r>
        <w:rPr>
          <w:rFonts w:ascii="Calibri" w:hAnsi="Calibri"/>
          <w:color w:val="1E293B"/>
          <w:sz w:val="21"/>
        </w:rPr>
        <w:t xml:space="preserve"> shields 100% of Nigeria's startup ecosystem, software agencies, and SMEs from any tax burden. Meanwhile, large banks, telcos, and oil companies can reduce their Tier-2 liability to </w:t>
      </w:r>
      <w:r>
        <w:rPr>
          <w:rFonts w:ascii="Calibri" w:hAnsi="Calibri"/>
          <w:b/>
          <w:color w:val="1E293B"/>
          <w:sz w:val="21"/>
        </w:rPr>
        <w:t>zero</w:t>
      </w:r>
      <w:r>
        <w:rPr>
          <w:rFonts w:ascii="Calibri" w:hAnsi="Calibri"/>
          <w:color w:val="1E293B"/>
          <w:sz w:val="21"/>
        </w:rPr>
        <w:t xml:space="preserve"> simply by shifting 20%–30% of their inference and disaster-recovery workloads to certified domestic operators (Kasi, Cassava–NVIDIA, MTN Genova, Airtel Nxtra, Rack Centre, OADC) through the </w:t>
      </w:r>
      <w:r>
        <w:rPr>
          <w:rFonts w:ascii="Calibri" w:hAnsi="Calibri"/>
          <w:b/>
          <w:color w:val="1E293B"/>
          <w:sz w:val="21"/>
        </w:rPr>
        <w:t>100% Onshore Compute Tax Credit</w:t>
      </w:r>
      <w:r>
        <w:rPr>
          <w:rFonts w:ascii="Calibri" w:hAnsi="Calibri"/>
          <w:color w:val="1E293B"/>
          <w:sz w:val="21"/>
        </w:rPr>
        <w:t>.</w:t>
      </w:r>
    </w:p>
    <w:p>
      <w:pPr>
        <w:keepNext/>
        <w:spacing w:before="320" w:after="120"/>
        <w:pBdr>
          <w:bottom w:val="single" w:sz="12" w:space="4" w:color="B45309"/>
        </w:pBdr>
      </w:pPr>
      <w:r>
        <w:rPr>
          <w:rFonts w:ascii="Calibri" w:hAnsi="Calibri"/>
          <w:b/>
          <w:color w:val="0A3D1F"/>
          <w:sz w:val="29"/>
        </w:rPr>
        <w:t>13. Emergency governance: the Public Ledger and the Global AI Observatory</w:t>
      </w:r>
    </w:p>
    <w:p>
      <w:pPr>
        <w:keepNext/>
        <w:spacing w:before="220" w:after="80"/>
      </w:pPr>
      <w:r>
        <w:rPr>
          <w:rFonts w:ascii="Calibri" w:hAnsi="Calibri"/>
          <w:b/>
          <w:color w:val="0A3D1F"/>
          <w:sz w:val="23"/>
        </w:rPr>
        <w:t>13.1 The Tamper-Evident Public Ledger</w:t>
      </w:r>
    </w:p>
    <w:p>
      <w:pPr>
        <w:spacing w:before="60" w:after="120" w:line="276" w:lineRule="auto"/>
      </w:pPr>
      <w:r>
        <w:rPr>
          <w:rFonts w:ascii="Calibri" w:hAnsi="Calibri"/>
          <w:color w:val="1E293B"/>
          <w:sz w:val="21"/>
        </w:rPr>
        <w:t xml:space="preserve">Emergency execution speed requires uncompromising fiscal transparency. Operationalising Nigeria's </w:t>
      </w:r>
      <w:r>
        <w:rPr>
          <w:rFonts w:ascii="Calibri" w:hAnsi="Calibri"/>
          <w:b/>
          <w:color w:val="1E293B"/>
          <w:sz w:val="21"/>
        </w:rPr>
        <w:t>National Blockchain Policy (approved May 2023)</w:t>
      </w:r>
      <w:r>
        <w:rPr>
          <w:rFonts w:ascii="Calibri" w:hAnsi="Calibri"/>
          <w:color w:val="1E293B"/>
          <w:sz w:val="21"/>
        </w:rPr>
        <w:t xml:space="preserve"> (</w:t>
      </w:r>
      <w:hyperlink r:id="rId23">
        <w:r>
          <w:rPr>
            <w:rFonts w:ascii="Calibri" w:hAnsi="Calibri"/>
            <w:color w:val="B45309"/>
            <w:u w:val="single"/>
            <w:sz w:val="21"/>
          </w:rPr>
          <w:t>dig.watch</w:t>
        </w:r>
      </w:hyperlink>
      <w:r>
        <w:rPr>
          <w:rFonts w:ascii="Calibri" w:hAnsi="Calibri"/>
          <w:color w:val="1E293B"/>
          <w:sz w:val="21"/>
        </w:rPr>
        <w:t xml:space="preserve">), every naira collected by the AI Infrastructure Fund, every concession contract signed, every megawatt generated, every GPU hour allocated, and every project audit is recorded on a </w:t>
      </w:r>
      <w:r>
        <w:rPr>
          <w:rFonts w:ascii="Calibri" w:hAnsi="Calibri"/>
          <w:b/>
          <w:color w:val="1E293B"/>
          <w:sz w:val="21"/>
        </w:rPr>
        <w:t>Permissioned, Public-Read Ledger</w:t>
      </w:r>
      <w:r>
        <w:rPr>
          <w:rFonts w:ascii="Calibri" w:hAnsi="Calibri"/>
          <w:color w:val="1E293B"/>
          <w:sz w:val="21"/>
        </w:rPr>
        <w:t>:</w:t>
      </w:r>
    </w:p>
    <w:p>
      <w:pPr>
        <w:keepNext/>
        <w:spacing w:before="220" w:after="80"/>
      </w:pPr>
      <w:r>
        <w:rPr>
          <w:rFonts w:ascii="Calibri" w:hAnsi="Calibri"/>
          <w:b/>
          <w:color w:val="B45309"/>
          <w:sz w:val="23"/>
        </w:rPr>
        <w:t>Table 14: Public Ledger Record Architecture and Verification Rules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520"/>
        <w:gridCol w:w="2520"/>
        <w:gridCol w:w="2520"/>
        <w:gridCol w:w="2520"/>
      </w:tblGrid>
      <w:tr>
        <w:trPr>
          <w:tblHeader/>
          <w:cantSplit/>
        </w:trPr>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Ledger Record Class</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Granular Data Written to Ledger</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Write / Validator Authority</w:t>
            </w:r>
          </w:p>
        </w:tc>
        <w:tc>
          <w:tcPr>
            <w:tcW w:type="dxa" w:w="2520"/>
            <w:vAlign w:val="center"/>
            <w:shd w:fill="0A3D1F"/>
            <w:tcMar>
              <w:top w:w="110" w:type="dxa"/>
              <w:bottom w:w="110" w:type="dxa"/>
              <w:left w:w="110" w:type="dxa"/>
              <w:right w:w="110" w:type="dxa"/>
            </w:tcMar>
          </w:tcPr>
          <w:p>
            <w:pPr>
              <w:spacing w:before="20" w:after="20"/>
            </w:pPr>
            <w:r>
              <w:rPr>
                <w:rFonts w:ascii="Calibri" w:hAnsi="Calibri"/>
                <w:b/>
                <w:color w:val="FFFFFF"/>
                <w:sz w:val="18"/>
              </w:rPr>
              <w:t>Public &amp; Investor Read Access</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 Fiscal &amp; DFI Inflows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Tier 1, 2 &amp; 3 tax receipts from FIRS/Customs, budget releases, DFI loan disbursements, NSIA equity, Africa AI Fund grants.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FIRS, CBN, NSIA, National AI Trust, DFI Validator Nodes.</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100% Public</w:t>
            </w:r>
            <w:r>
              <w:rPr>
                <w:rFonts w:ascii="Calibri" w:hAnsi="Calibri"/>
                <w:color w:val="1E293B"/>
                <w:sz w:val="17"/>
              </w:rPr>
              <w:t xml:space="preserve"> (Real-time dashboard down to transaction hash).</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2. PPP &amp; Procurement Contracts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Zone concession agreements, gas supply pricing, GPU lease terms, model licensing contracts, NITDA pooled procurements.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ICRC, NITDA, Zone SPVs, Independent Auditor.</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Public summary &amp; financial terms</w:t>
            </w:r>
            <w:r>
              <w:rPr>
                <w:rFonts w:ascii="Calibri" w:hAnsi="Calibri"/>
                <w:color w:val="1E293B"/>
                <w:sz w:val="17"/>
              </w:rPr>
              <w:t>; unredacted text visible to Auditor, National Assembly &amp; DFI nodes.</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3. Live Infrastructure Telemetry</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Megawatts generated, PUE, active H100-equivalent GPUs online, 99.9% uptime SLA compliance, state-by-state compute per 1,000 citizens.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Automated hardware attestation telemetry from Zone SPVs &amp; National Compute Exchange.</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100% Public</w:t>
            </w:r>
            <w:r>
              <w:rPr>
                <w:rFonts w:ascii="Calibri" w:hAnsi="Calibri"/>
                <w:color w:val="1E293B"/>
                <w:sz w:val="17"/>
              </w:rPr>
              <w:t xml:space="preserve"> (Updated hourly; drives automated SLA fee deductions).</w:t>
            </w:r>
          </w:p>
        </w:tc>
      </w:tr>
      <w:tr>
        <w:trPr>
          <w:cantSplit/>
        </w:trPr>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4. Project Accounts &amp; Vouchers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Individual sub-ledger for every Priority Portfolio project; approved compute budget, vouchers redeemed, and naira disbursements.</w:t>
            </w:r>
          </w:p>
        </w:tc>
        <w:tc>
          <w:tcPr>
            <w:tcW w:type="dxa" w:w="2520"/>
            <w:vAlign w:val="top"/>
            <w:shd w:fill="F5F2EB"/>
            <w:tcMar>
              <w:top w:w="85" w:type="dxa"/>
              <w:bottom w:w="85" w:type="dxa"/>
              <w:left w:w="105" w:type="dxa"/>
              <w:right w:w="105" w:type="dxa"/>
            </w:tcMar>
          </w:tcPr>
          <w:p>
            <w:pPr>
              <w:spacing w:before="20" w:after="20"/>
            </w:pPr>
            <w:r>
              <w:rPr>
                <w:rFonts w:ascii="Calibri" w:hAnsi="Calibri"/>
                <w:color w:val="1E293B"/>
                <w:sz w:val="17"/>
              </w:rPr>
              <w:t>National AI Trust, NITDA, Lead MDAs.</w:t>
            </w:r>
          </w:p>
        </w:tc>
        <w:tc>
          <w:tcPr>
            <w:tcW w:type="dxa" w:w="2520"/>
            <w:vAlign w:val="top"/>
            <w:shd w:fill="F5F2EB"/>
            <w:tcMar>
              <w:top w:w="85" w:type="dxa"/>
              <w:bottom w:w="85" w:type="dxa"/>
              <w:left w:w="105" w:type="dxa"/>
              <w:right w:w="105" w:type="dxa"/>
            </w:tcMar>
          </w:tcPr>
          <w:p>
            <w:pPr>
              <w:spacing w:before="20" w:after="20"/>
            </w:pPr>
            <w:r>
              <w:rPr>
                <w:rFonts w:ascii="Calibri" w:hAnsi="Calibri"/>
                <w:b/>
                <w:color w:val="1E293B"/>
                <w:sz w:val="17"/>
              </w:rPr>
              <w:t>100% Public</w:t>
            </w:r>
            <w:r>
              <w:rPr>
                <w:rFonts w:ascii="Calibri" w:hAnsi="Calibri"/>
                <w:color w:val="1E293B"/>
                <w:sz w:val="17"/>
              </w:rPr>
              <w:t xml:space="preserve"> (Traces every naira from tax collection to specific MDA/SME project).</w:t>
            </w:r>
          </w:p>
        </w:tc>
      </w:tr>
      <w:tr>
        <w:trPr>
          <w:cantSplit/>
        </w:trPr>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5. Stage-1 &amp; Stage-2 Outcome Scores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Quarterly audited Cost per Verified Resolution (NGN); semi-annual Oracle benchmark scores; Oracle bounty payouts; automatic 2-quarter sunset flags.</w:t>
            </w:r>
          </w:p>
        </w:tc>
        <w:tc>
          <w:tcPr>
            <w:tcW w:type="dxa" w:w="2520"/>
            <w:vAlign w:val="top"/>
            <w:shd w:fill="FFFFFF"/>
            <w:tcMar>
              <w:top w:w="85" w:type="dxa"/>
              <w:bottom w:w="85" w:type="dxa"/>
              <w:left w:w="105" w:type="dxa"/>
              <w:right w:w="105" w:type="dxa"/>
            </w:tcMar>
          </w:tcPr>
          <w:p>
            <w:pPr>
              <w:spacing w:before="20" w:after="20"/>
            </w:pPr>
            <w:r>
              <w:rPr>
                <w:rFonts w:ascii="Calibri" w:hAnsi="Calibri"/>
                <w:color w:val="1E293B"/>
                <w:sz w:val="17"/>
              </w:rPr>
              <w:t>NCAIR, Independent Evaluators, Accredited CSO Nodes, Auditor-General.</w:t>
            </w:r>
          </w:p>
        </w:tc>
        <w:tc>
          <w:tcPr>
            <w:tcW w:type="dxa" w:w="2520"/>
            <w:vAlign w:val="top"/>
            <w:shd w:fill="FFFFFF"/>
            <w:tcMar>
              <w:top w:w="85" w:type="dxa"/>
              <w:bottom w:w="85" w:type="dxa"/>
              <w:left w:w="105" w:type="dxa"/>
              <w:right w:w="105" w:type="dxa"/>
            </w:tcMar>
          </w:tcPr>
          <w:p>
            <w:pPr>
              <w:spacing w:before="20" w:after="20"/>
            </w:pPr>
            <w:r>
              <w:rPr>
                <w:rFonts w:ascii="Calibri" w:hAnsi="Calibri"/>
                <w:b/>
                <w:color w:val="1E293B"/>
                <w:sz w:val="17"/>
              </w:rPr>
              <w:t>100% Public</w:t>
            </w:r>
            <w:r>
              <w:rPr>
                <w:rFonts w:ascii="Calibri" w:hAnsi="Calibri"/>
                <w:color w:val="1E293B"/>
                <w:sz w:val="17"/>
              </w:rPr>
              <w:t xml:space="preserve"> (Triggers automatic review/sunset after 2 consecutive missed quarters).</w:t>
            </w:r>
          </w:p>
        </w:tc>
      </w:tr>
    </w:tbl>
    <w:p>
      <w:pPr>
        <w:spacing w:before="0" w:after="120"/>
      </w:pPr>
    </w:p>
    <w:p>
      <w:pPr>
        <w:spacing w:before="60" w:after="120" w:line="276" w:lineRule="auto"/>
      </w:pPr>
      <w:r>
        <w:rPr>
          <w:rFonts w:ascii="Calibri" w:hAnsi="Calibri"/>
          <w:b/>
          <w:color w:val="1E293B"/>
          <w:sz w:val="21"/>
        </w:rPr>
        <w:t>Privacy, truth-verification, and ethics safeguards:</w:t>
      </w:r>
    </w:p>
    <w:p>
      <w:pPr>
        <w:pStyle w:val="ListBullet"/>
        <w:spacing w:before="40" w:after="60"/>
      </w:pPr>
      <w:r>
        <w:rPr>
          <w:rFonts w:ascii="Calibri" w:hAnsi="Calibri"/>
          <w:b/>
          <w:color w:val="1E293B"/>
          <w:sz w:val="20"/>
        </w:rPr>
        <w:t>Zero personal data on-chain:</w:t>
      </w:r>
      <w:r>
        <w:rPr>
          <w:rFonts w:ascii="Calibri" w:hAnsi="Calibri"/>
          <w:color w:val="1E293B"/>
          <w:sz w:val="20"/>
        </w:rPr>
        <w:t xml:space="preserve"> In strict compliance with the Nigeria Data Protection Act (NDPA), no citizen names, phone numbers, health records, or individual farm GPS coordinates are ever written to the ledger—only cryptographic document hashes and aggregate metrics.</w:t>
      </w:r>
    </w:p>
    <w:p>
      <w:pPr>
        <w:pStyle w:val="ListBullet"/>
        <w:spacing w:before="40" w:after="60"/>
      </w:pPr>
      <w:r>
        <w:rPr>
          <w:rFonts w:ascii="Calibri" w:hAnsi="Calibri"/>
          <w:b/>
          <w:color w:val="1E293B"/>
          <w:sz w:val="20"/>
        </w:rPr>
        <w:t>Solving the "garbage-in" problem:</w:t>
      </w:r>
      <w:r>
        <w:rPr>
          <w:rFonts w:ascii="Calibri" w:hAnsi="Calibri"/>
          <w:color w:val="1E293B"/>
          <w:sz w:val="20"/>
        </w:rPr>
        <w:t xml:space="preserve"> A blockchain proves that a record was not altered after entry, not that the entry was truthful when written. Therefore, write-consensus requires multi-signature sign-off across government, the Independent External Auditor, DFI observer nodes, and accredited civil-society organisations, backed by quarterly physical and field-sample audits. Relevant evaluation protocols and replication packs are published openly alongside the practitioner frameworks of the </w:t>
      </w:r>
      <w:hyperlink r:id="rId68">
        <w:r>
          <w:rPr>
            <w:rFonts w:ascii="Calibri" w:hAnsi="Calibri"/>
            <w:color w:val="B45309"/>
            <w:u w:val="single"/>
            <w:sz w:val="20"/>
          </w:rPr>
          <w:t>Public Service AI Observatory</w:t>
        </w:r>
      </w:hyperlink>
      <w:r>
        <w:rPr>
          <w:rFonts w:ascii="Calibri" w:hAnsi="Calibri"/>
          <w:color w:val="1E293B"/>
          <w:sz w:val="20"/>
        </w:rPr>
        <w:t>.</w:t>
      </w:r>
    </w:p>
    <w:p>
      <w:pPr>
        <w:pStyle w:val="ListBullet"/>
        <w:spacing w:before="40" w:after="60"/>
      </w:pPr>
      <w:r>
        <w:rPr>
          <w:rFonts w:ascii="Calibri" w:hAnsi="Calibri"/>
          <w:b/>
          <w:color w:val="1E293B"/>
          <w:sz w:val="20"/>
        </w:rPr>
        <w:t>Continental ethical anchor:</w:t>
      </w:r>
      <w:r>
        <w:rPr>
          <w:rFonts w:ascii="Calibri" w:hAnsi="Calibri"/>
          <w:color w:val="1E293B"/>
          <w:sz w:val="20"/>
        </w:rPr>
        <w:t xml:space="preserve"> The Presidential Delivery Council adopts </w:t>
      </w:r>
      <w:r>
        <w:rPr>
          <w:rFonts w:ascii="Calibri" w:hAnsi="Calibri"/>
          <w:b/>
          <w:color w:val="1E293B"/>
          <w:sz w:val="20"/>
        </w:rPr>
        <w:t>African Commission on Human and Peoples' Rights (ACHPR) Resolution 473</w:t>
      </w:r>
      <w:r>
        <w:rPr>
          <w:rFonts w:ascii="Calibri" w:hAnsi="Calibri"/>
          <w:color w:val="1E293B"/>
          <w:sz w:val="20"/>
        </w:rPr>
        <w:t xml:space="preserve"> on AI and human rights alongside an </w:t>
      </w:r>
      <w:r>
        <w:rPr>
          <w:rFonts w:ascii="Calibri" w:hAnsi="Calibri"/>
          <w:b/>
          <w:color w:val="1E293B"/>
          <w:sz w:val="20"/>
        </w:rPr>
        <w:t>Ubuntu standard of shared community benefit</w:t>
      </w:r>
      <w:r>
        <w:rPr>
          <w:rFonts w:ascii="Calibri" w:hAnsi="Calibri"/>
          <w:color w:val="1E293B"/>
          <w:sz w:val="20"/>
        </w:rPr>
        <w:t xml:space="preserve"> as its binding ethical charter, aligning directly with the African Union Continental AI Strategy (</w:t>
      </w:r>
      <w:hyperlink r:id="rId69">
        <w:r>
          <w:rPr>
            <w:rFonts w:ascii="Calibri" w:hAnsi="Calibri"/>
            <w:color w:val="B45309"/>
            <w:u w:val="single"/>
            <w:sz w:val="20"/>
          </w:rPr>
          <w:t>Digital Policy Alert</w:t>
        </w:r>
      </w:hyperlink>
      <w:r>
        <w:rPr>
          <w:rFonts w:ascii="Calibri" w:hAnsi="Calibri"/>
          <w:color w:val="1E293B"/>
          <w:sz w:val="20"/>
        </w:rPr>
        <w:t>).</w:t>
      </w:r>
    </w:p>
    <w:p>
      <w:pPr>
        <w:keepNext/>
        <w:spacing w:before="220" w:after="80"/>
      </w:pPr>
      <w:r>
        <w:rPr>
          <w:rFonts w:ascii="Calibri" w:hAnsi="Calibri"/>
          <w:b/>
          <w:color w:val="0A3D1F"/>
          <w:sz w:val="23"/>
        </w:rPr>
        <w:t>13.2 The Global AI Observatory and the 5-step re-triage loop</w:t>
      </w:r>
    </w:p>
    <w:p>
      <w:pPr>
        <w:spacing w:before="60" w:after="120" w:line="276" w:lineRule="auto"/>
      </w:pPr>
      <w:r>
        <w:rPr>
          <w:rFonts w:ascii="Calibri" w:hAnsi="Calibri"/>
          <w:color w:val="1E293B"/>
          <w:sz w:val="21"/>
        </w:rPr>
        <w:t xml:space="preserve">A rigid five-year plan written in October 2026 will be obsolete by 2028 if model architectures, chip export rules, or inference costs shift by an order of magnitude. Housed analytically within </w:t>
      </w:r>
      <w:r>
        <w:rPr>
          <w:rFonts w:ascii="Calibri" w:hAnsi="Calibri"/>
          <w:b/>
          <w:color w:val="1E293B"/>
          <w:sz w:val="21"/>
        </w:rPr>
        <w:t>NCAIR</w:t>
      </w:r>
      <w:r>
        <w:rPr>
          <w:rFonts w:ascii="Calibri" w:hAnsi="Calibri"/>
          <w:color w:val="1E293B"/>
          <w:sz w:val="21"/>
        </w:rPr>
        <w:t xml:space="preserve"> and drawing on academic researchers from Nigerian universities, the Lagos Business School AI Collective, and the daily tracking methodology of the </w:t>
      </w:r>
      <w:hyperlink r:id="rId70">
        <w:r>
          <w:rPr>
            <w:rFonts w:ascii="Calibri" w:hAnsi="Calibri"/>
            <w:color w:val="B45309"/>
            <w:u w:val="single"/>
            <w:sz w:val="21"/>
          </w:rPr>
          <w:t>AI Africa Observatory</w:t>
        </w:r>
      </w:hyperlink>
      <w:r>
        <w:rPr>
          <w:rFonts w:ascii="Calibri" w:hAnsi="Calibri"/>
          <w:color w:val="1E293B"/>
          <w:sz w:val="21"/>
        </w:rPr>
        <w:t xml:space="preserve">, the </w:t>
      </w:r>
      <w:r>
        <w:rPr>
          <w:rFonts w:ascii="Calibri" w:hAnsi="Calibri"/>
          <w:b/>
          <w:color w:val="1E293B"/>
          <w:sz w:val="21"/>
        </w:rPr>
        <w:t>Global AI Observatory</w:t>
      </w:r>
      <w:r>
        <w:rPr>
          <w:rFonts w:ascii="Calibri" w:hAnsi="Calibri"/>
          <w:color w:val="1E293B"/>
          <w:sz w:val="21"/>
        </w:rPr>
        <w:t xml:space="preserve"> monitors eight structural indicators and enforces a binding </w:t>
      </w:r>
      <w:r>
        <w:rPr>
          <w:rFonts w:ascii="Calibri" w:hAnsi="Calibri"/>
          <w:b/>
          <w:color w:val="1E293B"/>
          <w:sz w:val="21"/>
        </w:rPr>
        <w:t>5-Step Review and Re-Triage Loop</w:t>
      </w:r>
      <w:r>
        <w:rPr>
          <w:rFonts w:ascii="Calibri" w:hAnsi="Calibri"/>
          <w:color w:val="1E293B"/>
          <w:sz w:val="21"/>
        </w:rPr>
        <w:t>:</w:t>
      </w:r>
    </w:p>
    <w:p>
      <w:pPr>
        <w:keepNext/>
        <w:spacing w:before="220" w:after="80"/>
      </w:pPr>
      <w:r>
        <w:rPr>
          <w:rFonts w:ascii="Calibri" w:hAnsi="Calibri"/>
          <w:b/>
          <w:color w:val="B45309"/>
          <w:sz w:val="23"/>
        </w:rPr>
        <w:t>Table 15: The Global AI Observatory — Eight Tracked Indicators and Five Binding 30-Day Re-Triage Triggers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Observatory Indicator</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Specific Metrics Monitored Monthly</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Binding 30-Day Re-Triage Trigger &amp; Mandatory Council Action</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 Frontier Model &amp; Agent Capability</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Multi-step reasoning benchmarks, autonomous coding/research horizon length, tool-use reliability (including open-weight </w:t>
            </w:r>
            <w:r>
              <w:rPr>
                <w:rFonts w:ascii="Calibri" w:hAnsi="Calibri"/>
                <w:b/>
                <w:color w:val="1E293B"/>
                <w:sz w:val="17"/>
              </w:rPr>
              <w:t>`NVIDIA Nemotron`</w:t>
            </w:r>
            <w:r>
              <w:rPr>
                <w:rFonts w:ascii="Calibri" w:hAnsi="Calibri"/>
                <w:color w:val="1E293B"/>
                <w:sz w:val="17"/>
              </w:rPr>
              <w:t xml:space="preserve"> agentic reasoning &amp; </w:t>
            </w:r>
            <w:r>
              <w:rPr>
                <w:rFonts w:ascii="Calibri" w:hAnsi="Calibri"/>
                <w:b/>
                <w:color w:val="1E293B"/>
                <w:sz w:val="17"/>
              </w:rPr>
              <w:t>`OpenShell`</w:t>
            </w:r>
            <w:r>
              <w:rPr>
                <w:rFonts w:ascii="Calibri" w:hAnsi="Calibri"/>
                <w:color w:val="1E293B"/>
                <w:sz w:val="17"/>
              </w:rPr>
              <w:t xml:space="preserve"> governed execution (</w:t>
            </w:r>
            <w:hyperlink r:id="rId24">
              <w:r>
                <w:rPr>
                  <w:rFonts w:ascii="Calibri" w:hAnsi="Calibri"/>
                  <w:color w:val="B45309"/>
                  <w:u w:val="single"/>
                  <w:sz w:val="17"/>
                </w:rPr>
                <w:t>Cassava Technologies</w:t>
              </w:r>
            </w:hyperlink>
            <w:r>
              <w:rPr>
                <w:rFonts w:ascii="Calibri" w:hAnsi="Calibri"/>
                <w:color w:val="1E293B"/>
                <w:sz w:val="17"/>
              </w:rPr>
              <w:t>)).</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Trigger 1 (Long-Horizon Agent Breakthrough):</w:t>
            </w:r>
            <w:r>
              <w:rPr>
                <w:rFonts w:ascii="Calibri" w:hAnsi="Calibri"/>
                <w:color w:val="1E293B"/>
                <w:sz w:val="17"/>
              </w:rPr>
              <w:t xml:space="preserve"> When AI agents demonstrate reliable multi-hour autonomous research execution, the Council convenes within 30 days to double compute and prize allocations for the </w:t>
            </w:r>
            <w:r>
              <w:rPr>
                <w:rFonts w:ascii="Calibri" w:hAnsi="Calibri"/>
                <w:b/>
                <w:color w:val="1E293B"/>
                <w:sz w:val="17"/>
              </w:rPr>
              <w:t>52 Development Oracles</w:t>
            </w:r>
            <w:r>
              <w:rPr>
                <w:rFonts w:ascii="Calibri" w:hAnsi="Calibri"/>
                <w:color w:val="1E293B"/>
                <w:sz w:val="17"/>
              </w:rPr>
              <w:t xml:space="preserve"> (</w:t>
            </w:r>
            <w:r>
              <w:rPr>
                <w:rFonts w:ascii="Calibri" w:hAnsi="Calibri"/>
                <w:i/>
                <w:color w:val="1E293B"/>
                <w:sz w:val="17"/>
              </w:rPr>
              <w:t>The Oracle and the Partner</w:t>
            </w:r>
            <w:r>
              <w:rPr>
                <w:rFonts w:ascii="Calibri" w:hAnsi="Calibri"/>
                <w:color w:val="1E293B"/>
                <w:sz w:val="17"/>
              </w:rPr>
              <w:t>).</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2. Open-Weight vs. Proprietary Gap</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Performance gap (in accuracy points and latency) between open-weight models (</w:t>
            </w:r>
            <w:r>
              <w:rPr>
                <w:rFonts w:ascii="Calibri" w:hAnsi="Calibri"/>
                <w:b/>
                <w:color w:val="1E293B"/>
                <w:sz w:val="17"/>
              </w:rPr>
              <w:t>`NVIDIA Nemotron`</w:t>
            </w:r>
            <w:r>
              <w:rPr>
                <w:rFonts w:ascii="Calibri" w:hAnsi="Calibri"/>
                <w:color w:val="1E293B"/>
                <w:sz w:val="17"/>
              </w:rPr>
              <w:t>, Llama, Qwen, DeepSeek, Mistral) and closed frontier APIs across priority tasks.</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Trigger 2 (Open-Weight Parity — Active in Q4 2026 via `Nemotron`):</w:t>
            </w:r>
            <w:r>
              <w:rPr>
                <w:rFonts w:ascii="Calibri" w:hAnsi="Calibri"/>
                <w:color w:val="1E293B"/>
                <w:sz w:val="17"/>
              </w:rPr>
              <w:t xml:space="preserve"> With Cassava's 21 Oct 2026 deployment of open-weight </w:t>
            </w:r>
            <w:r>
              <w:rPr>
                <w:rFonts w:ascii="Consolas" w:hAnsi="Consolas"/>
                <w:b/>
                <w:color w:val="0A3D1F"/>
                <w:sz w:val="16"/>
              </w:rPr>
              <w:t>Nemotron</w:t>
            </w:r>
            <w:r>
              <w:rPr>
                <w:rFonts w:ascii="Calibri" w:hAnsi="Calibri"/>
                <w:color w:val="1E293B"/>
                <w:sz w:val="17"/>
              </w:rPr>
              <w:t xml:space="preserve"> models and recipes on </w:t>
            </w:r>
            <w:r>
              <w:rPr>
                <w:rFonts w:ascii="Consolas" w:hAnsi="Consolas"/>
                <w:b/>
                <w:color w:val="0A3D1F"/>
                <w:sz w:val="16"/>
              </w:rPr>
              <w:t>CAIMEx</w:t>
            </w:r>
            <w:r>
              <w:rPr>
                <w:rFonts w:ascii="Calibri" w:hAnsi="Calibri"/>
                <w:color w:val="1E293B"/>
                <w:sz w:val="17"/>
              </w:rPr>
              <w:t xml:space="preserve"> (</w:t>
            </w:r>
            <w:hyperlink r:id="rId25">
              <w:r>
                <w:rPr>
                  <w:rFonts w:ascii="Calibri" w:hAnsi="Calibri"/>
                  <w:color w:val="B45309"/>
                  <w:u w:val="single"/>
                  <w:sz w:val="17"/>
                </w:rPr>
                <w:t>Tech.Africa</w:t>
              </w:r>
            </w:hyperlink>
            <w:r>
              <w:rPr>
                <w:rFonts w:ascii="Calibri" w:hAnsi="Calibri"/>
                <w:color w:val="1E293B"/>
                <w:sz w:val="17"/>
              </w:rPr>
              <w:t>), NITDA and NCAIR migrate eligible public reasoning/tool-use workflows to self-hosted domestic open weights within 30 days of domain validation, terminating foreign API licensing fees.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3. Global Token &amp; Silicon Economics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Global price per million tokens, H100/B200 spot rental rates, next-generation chip watts-per-token, and domestic gas-to-power tariffs.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Trigger 3 (&gt;33% Price Shift):</w:t>
            </w:r>
            <w:r>
              <w:rPr>
                <w:rFonts w:ascii="Calibri" w:hAnsi="Calibri"/>
                <w:color w:val="1E293B"/>
                <w:sz w:val="17"/>
              </w:rPr>
              <w:t xml:space="preserve"> If global GPU rental or token prices move by </w:t>
            </w:r>
            <w:r>
              <w:rPr>
                <w:rFonts w:ascii="Calibri" w:hAnsi="Calibri"/>
                <w:b/>
                <w:color w:val="1E293B"/>
                <w:sz w:val="17"/>
              </w:rPr>
              <w:t>more than 33% in a single quarter</w:t>
            </w:r>
            <w:r>
              <w:rPr>
                <w:rFonts w:ascii="Calibri" w:hAnsi="Calibri"/>
                <w:color w:val="1E293B"/>
                <w:sz w:val="17"/>
              </w:rPr>
              <w:t>, the Council recalculates all Priority Portfolio Return-on-Tokens denominators and adjusts Zone SPV lease-refresh schedules.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4. Export Controls &amp; Supply Access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US BIS export rules, Chinese mineral/hardware controls, EU AI Act extraterritorial rules, vendor API terms of service.</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Trigger 4 (Supplier Restriction or Cutoff):</w:t>
            </w:r>
            <w:r>
              <w:rPr>
                <w:rFonts w:ascii="Calibri" w:hAnsi="Calibri"/>
                <w:color w:val="1E293B"/>
                <w:sz w:val="17"/>
              </w:rPr>
              <w:t xml:space="preserve"> If any foreign jurisdiction or vendor announces a service suspension or export cap affecting a stack Nigeria uses, the Council triggers immediate failover to ring-fenced alternative SPVs and draws down the 20% Continuity Reserve.</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5. Geopolitical &amp; Regional Alignment</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US, China, India, EU, and Gulf sovereign AI deals; AU and ECOWAS digital trade protocols.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Updates the continental bloc negotiating mandate for pooled GPU purchasing and bilateral technology-transfer compacts.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6. Domestic Labour &amp; Sector Exposure</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Job displacement and productivity augmentation across Nigerian BPO, banking, legal, civil service, and creative sectors.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Re-weights compute voucher and reskilling allocations toward sectors experiencing rapid task automation.</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7. Cyber &amp; Model Safety Incidents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Prompt-injection waves, deepfake election/financial fraud, hardware firmware vulnerabilities, cluster intrusions.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Trigger 5 (Critical Security Incident):</w:t>
            </w:r>
            <w:r>
              <w:rPr>
                <w:rFonts w:ascii="Calibri" w:hAnsi="Calibri"/>
                <w:color w:val="1E293B"/>
                <w:sz w:val="17"/>
              </w:rPr>
              <w:t xml:space="preserve"> Any verified breach of national compute or safety failure in a public model triggers an immediate 30-day emergency containment review led by ONSA and the National AI Security &amp; Evaluation Unit.</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8. Equity of Domestic Adoption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Monthly tokens consumed and available AI compute (FLOPs) per 1,000 residents across all 36 states and FCT.</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Automatically directs the next tranche of Tier-2 State Node capital and SME compute vouchers to the bottom quartile of states.</w:t>
            </w:r>
          </w:p>
        </w:tc>
      </w:tr>
    </w:tbl>
    <w:p>
      <w:pPr>
        <w:spacing w:before="0" w:after="120"/>
      </w:pPr>
    </w:p>
    <w:p>
      <w:pPr>
        <w:spacing w:before="60" w:after="120" w:line="276" w:lineRule="auto"/>
      </w:pPr>
      <w:r>
        <w:rPr>
          <w:rFonts w:ascii="Calibri" w:hAnsi="Calibri"/>
          <w:b/>
          <w:color w:val="1E293B"/>
          <w:sz w:val="21"/>
        </w:rPr>
        <w:t>The 5-Step Observatory Review Loop (Illustrated in Figure 5 below):</w:t>
      </w:r>
    </w:p>
    <w:p>
      <w:pPr>
        <w:pStyle w:val="ListBullet"/>
        <w:spacing w:before="40" w:after="60"/>
      </w:pPr>
      <w:r>
        <w:rPr>
          <w:rFonts w:ascii="Calibri" w:hAnsi="Calibri"/>
          <w:b/>
          <w:color w:val="1E293B"/>
          <w:sz w:val="20"/>
        </w:rPr>
        <w:t>Step 1 (Continuous Signal Ingestion):</w:t>
      </w:r>
      <w:r>
        <w:rPr>
          <w:rFonts w:ascii="Calibri" w:hAnsi="Calibri"/>
          <w:color w:val="1E293B"/>
          <w:sz w:val="20"/>
        </w:rPr>
        <w:t xml:space="preserve"> NCAIR and the Observatory ingest monthly telemetry from the National Compute Exchange, global benchmark leaderboards, and trade/regulatory monitors.</w:t>
      </w:r>
    </w:p>
    <w:p>
      <w:pPr>
        <w:pStyle w:val="ListBullet"/>
        <w:spacing w:before="40" w:after="60"/>
      </w:pPr>
      <w:r>
        <w:rPr>
          <w:rFonts w:ascii="Calibri" w:hAnsi="Calibri"/>
          <w:b/>
          <w:color w:val="1E293B"/>
          <w:sz w:val="20"/>
        </w:rPr>
        <w:t>Step 2 (Trigger Detection):</w:t>
      </w:r>
      <w:r>
        <w:rPr>
          <w:rFonts w:ascii="Calibri" w:hAnsi="Calibri"/>
          <w:color w:val="1E293B"/>
          <w:sz w:val="20"/>
        </w:rPr>
        <w:t xml:space="preserve"> Automated threshold alerts flag when either the standard quarterly cycle arrives or any of the </w:t>
      </w:r>
      <w:r>
        <w:rPr>
          <w:rFonts w:ascii="Calibri" w:hAnsi="Calibri"/>
          <w:b/>
          <w:color w:val="1E293B"/>
          <w:sz w:val="20"/>
        </w:rPr>
        <w:t>Five Binding Triggers</w:t>
      </w:r>
      <w:r>
        <w:rPr>
          <w:rFonts w:ascii="Calibri" w:hAnsi="Calibri"/>
          <w:color w:val="1E293B"/>
          <w:sz w:val="20"/>
        </w:rPr>
        <w:t xml:space="preserve"> above is breached.</w:t>
      </w:r>
    </w:p>
    <w:p>
      <w:pPr>
        <w:pStyle w:val="ListBullet"/>
        <w:spacing w:before="40" w:after="60"/>
      </w:pPr>
      <w:r>
        <w:rPr>
          <w:rFonts w:ascii="Calibri" w:hAnsi="Calibri"/>
          <w:b/>
          <w:color w:val="1E293B"/>
          <w:sz w:val="20"/>
        </w:rPr>
        <w:t>Step 3 (30-Day Mandatory Delivery Council Triage):</w:t>
      </w:r>
      <w:r>
        <w:rPr>
          <w:rFonts w:ascii="Calibri" w:hAnsi="Calibri"/>
          <w:color w:val="1E293B"/>
          <w:sz w:val="20"/>
        </w:rPr>
        <w:t xml:space="preserve"> The Presidential Delivery Council and Allocation Board must convene within </w:t>
      </w:r>
      <w:r>
        <w:rPr>
          <w:rFonts w:ascii="Calibri" w:hAnsi="Calibri"/>
          <w:b/>
          <w:color w:val="1E293B"/>
          <w:sz w:val="20"/>
        </w:rPr>
        <w:t>30 calendar days</w:t>
      </w:r>
      <w:r>
        <w:rPr>
          <w:rFonts w:ascii="Calibri" w:hAnsi="Calibri"/>
          <w:color w:val="1E293B"/>
          <w:sz w:val="20"/>
        </w:rPr>
        <w:t xml:space="preserve"> of a trigger firing to re-score the Priority Portfolio using updated Return-on-Tokens denominators.</w:t>
      </w:r>
    </w:p>
    <w:p>
      <w:pPr>
        <w:pStyle w:val="ListBullet"/>
        <w:spacing w:before="40" w:after="60"/>
      </w:pPr>
      <w:r>
        <w:rPr>
          <w:rFonts w:ascii="Calibri" w:hAnsi="Calibri"/>
          <w:b/>
          <w:color w:val="1E293B"/>
          <w:sz w:val="20"/>
        </w:rPr>
        <w:t>Step 4 (Compute &amp; Stack Re-Allocation):</w:t>
      </w:r>
      <w:r>
        <w:rPr>
          <w:rFonts w:ascii="Calibri" w:hAnsi="Calibri"/>
          <w:color w:val="1E293B"/>
          <w:sz w:val="20"/>
        </w:rPr>
        <w:t xml:space="preserve"> The National AI Trust shifts compute vouchers, migrates API gateways between proprietary and open-weight stacks, or releases Oracle bounty tranches.</w:t>
      </w:r>
    </w:p>
    <w:p>
      <w:pPr>
        <w:pStyle w:val="ListBullet"/>
        <w:spacing w:before="40" w:after="60"/>
      </w:pPr>
      <w:r>
        <w:rPr>
          <w:rFonts w:ascii="Calibri" w:hAnsi="Calibri"/>
          <w:b/>
          <w:color w:val="1E293B"/>
          <w:sz w:val="20"/>
        </w:rPr>
        <w:t>Step 5 (Public Ledger Publication):</w:t>
      </w:r>
      <w:r>
        <w:rPr>
          <w:rFonts w:ascii="Calibri" w:hAnsi="Calibri"/>
          <w:color w:val="1E293B"/>
          <w:sz w:val="20"/>
        </w:rPr>
        <w:t xml:space="preserve"> The Observatory publishes its quarterly </w:t>
      </w:r>
      <w:r>
        <w:rPr>
          <w:rFonts w:ascii="Calibri" w:hAnsi="Calibri"/>
          <w:i/>
          <w:color w:val="1E293B"/>
          <w:sz w:val="20"/>
        </w:rPr>
        <w:t>State of AI for Africa Brief</w:t>
      </w:r>
      <w:r>
        <w:rPr>
          <w:rFonts w:ascii="Calibri" w:hAnsi="Calibri"/>
          <w:color w:val="1E293B"/>
          <w:sz w:val="20"/>
        </w:rPr>
        <w:t xml:space="preserve"> to the Presidency, National Assembly, and AU Commission, logging the exact quantitative rationale for every allocation shift on the Public Ledger.</w:t>
      </w:r>
    </w:p>
    <w:p>
      <w:pPr>
        <w:keepNext/>
        <w:spacing w:before="320" w:after="120"/>
        <w:pBdr>
          <w:bottom w:val="single" w:sz="12" w:space="4" w:color="B45309"/>
        </w:pBdr>
      </w:pPr>
      <w:r>
        <w:rPr>
          <w:rFonts w:ascii="Calibri" w:hAnsi="Calibri"/>
          <w:b/>
          <w:color w:val="0A3D1F"/>
          <w:sz w:val="29"/>
        </w:rPr>
        <w:t>14. Continental architecture: Nigeria as anchor, Cassava's pan-African fabric, and the India third pole</w:t>
      </w:r>
    </w:p>
    <w:p>
      <w:pPr>
        <w:spacing w:before="60" w:after="120" w:line="276" w:lineRule="auto"/>
      </w:pPr>
      <w:r>
        <w:rPr>
          <w:rFonts w:ascii="Calibri" w:hAnsi="Calibri"/>
          <w:color w:val="1E293B"/>
          <w:sz w:val="21"/>
        </w:rPr>
        <w:t xml:space="preserve">No single African country—not even Nigeria—can bargain on equal terms alone with Washington, Beijing, or trillion-dollar hyperscalers. Yet together, the 55 member states of the African Union represent 1.5 billion people and the world's largest growth market for digital services between 2026 and 2050. In September 2026, the African Union's continental consultation on AI governance explicitly identified </w:t>
      </w:r>
      <w:r>
        <w:rPr>
          <w:rFonts w:ascii="Calibri" w:hAnsi="Calibri"/>
          <w:b/>
          <w:color w:val="1E293B"/>
          <w:sz w:val="21"/>
        </w:rPr>
        <w:t>equitable access to compute infrastructure</w:t>
      </w:r>
      <w:r>
        <w:rPr>
          <w:rFonts w:ascii="Calibri" w:hAnsi="Calibri"/>
          <w:color w:val="1E293B"/>
          <w:sz w:val="21"/>
        </w:rPr>
        <w:t xml:space="preserve"> as a core continental priority while warning that 80% of African nations still lack a national AI strategy (</w:t>
      </w:r>
      <w:hyperlink r:id="rId71">
        <w:r>
          <w:rPr>
            <w:rFonts w:ascii="Calibri" w:hAnsi="Calibri"/>
            <w:color w:val="B45309"/>
            <w:u w:val="single"/>
            <w:sz w:val="21"/>
          </w:rPr>
          <w:t>TechAfrica News</w:t>
        </w:r>
      </w:hyperlink>
      <w:r>
        <w:rPr>
          <w:rFonts w:ascii="Calibri" w:hAnsi="Calibri"/>
          <w:color w:val="1E293B"/>
          <w:sz w:val="21"/>
        </w:rPr>
        <w:t>). African ICT ministers have similarly called for pooling scarce national budgets into shared regional AI infrastructure (</w:t>
      </w:r>
      <w:hyperlink r:id="rId72">
        <w:r>
          <w:rPr>
            <w:rFonts w:ascii="Calibri" w:hAnsi="Calibri"/>
            <w:color w:val="B45309"/>
            <w:u w:val="single"/>
            <w:sz w:val="21"/>
          </w:rPr>
          <w:t>IT Online</w:t>
        </w:r>
      </w:hyperlink>
      <w:r>
        <w:rPr>
          <w:rFonts w:ascii="Calibri" w:hAnsi="Calibri"/>
          <w:color w:val="1E293B"/>
          <w:sz w:val="21"/>
        </w:rPr>
        <w:t>).</w:t>
      </w:r>
    </w:p>
    <w:p>
      <w:pPr>
        <w:keepNext/>
        <w:spacing w:before="220" w:after="80"/>
      </w:pPr>
      <w:r>
        <w:rPr>
          <w:rFonts w:ascii="Calibri" w:hAnsi="Calibri"/>
          <w:b/>
          <w:color w:val="0A3D1F"/>
          <w:sz w:val="23"/>
        </w:rPr>
        <w:t>14.1 How the Nigeria-anchored continental compute pool works</w:t>
      </w:r>
    </w:p>
    <w:p>
      <w:pPr>
        <w:spacing w:before="60" w:after="120" w:line="276" w:lineRule="auto"/>
      </w:pPr>
      <w:r>
        <w:rPr>
          <w:rFonts w:ascii="Calibri" w:hAnsi="Calibri"/>
          <w:color w:val="1E293B"/>
          <w:sz w:val="21"/>
        </w:rPr>
        <w:t>Nigeria brings abundant natural gas (200+ Tcf), West Africa's largest domestic market, and an established ICRC PPP template (</w:t>
      </w:r>
      <w:hyperlink r:id="rId19">
        <w:r>
          <w:rPr>
            <w:rFonts w:ascii="Calibri" w:hAnsi="Calibri"/>
            <w:color w:val="B45309"/>
            <w:u w:val="single"/>
            <w:sz w:val="21"/>
          </w:rPr>
          <w:t>NAN</w:t>
        </w:r>
      </w:hyperlink>
      <w:r>
        <w:rPr>
          <w:rFonts w:ascii="Calibri" w:hAnsi="Calibri"/>
          <w:color w:val="1E293B"/>
          <w:sz w:val="21"/>
        </w:rPr>
        <w:t xml:space="preserve">); ECOWAS and AU partner states bring aggregated regional demand, co-investment from the </w:t>
      </w:r>
      <w:r>
        <w:rPr>
          <w:rFonts w:ascii="Calibri" w:hAnsi="Calibri"/>
          <w:b/>
          <w:color w:val="1E293B"/>
          <w:sz w:val="21"/>
        </w:rPr>
        <w:t>$60 billion Africa AI Fund</w:t>
      </w:r>
      <w:r>
        <w:rPr>
          <w:rFonts w:ascii="Calibri" w:hAnsi="Calibri"/>
          <w:color w:val="1E293B"/>
          <w:sz w:val="21"/>
        </w:rPr>
        <w:t xml:space="preserve"> declared at Kigali in April 2025 (</w:t>
      </w:r>
      <w:hyperlink r:id="rId56">
        <w:r>
          <w:rPr>
            <w:rFonts w:ascii="Calibri" w:hAnsi="Calibri"/>
            <w:color w:val="B45309"/>
            <w:u w:val="single"/>
            <w:sz w:val="21"/>
          </w:rPr>
          <w:t>ORF</w:t>
        </w:r>
      </w:hyperlink>
      <w:r>
        <w:rPr>
          <w:rFonts w:ascii="Calibri" w:hAnsi="Calibri"/>
          <w:color w:val="1E293B"/>
          <w:sz w:val="21"/>
        </w:rPr>
        <w:t>), and unified diplomatic voting weight.</w:t>
      </w:r>
    </w:p>
    <w:p>
      <w:pPr>
        <w:spacing w:before="50" w:after="70"/>
        <w:ind w:left="360" w:hanging="360"/>
      </w:pPr>
      <w:r>
        <w:rPr>
          <w:rFonts w:ascii="Calibri" w:hAnsi="Calibri"/>
          <w:b/>
          <w:color w:val="0A3D1F"/>
          <w:sz w:val="20"/>
        </w:rPr>
        <w:t xml:space="preserve">1. </w:t>
      </w:r>
      <w:r>
        <w:rPr>
          <w:rFonts w:ascii="Calibri" w:hAnsi="Calibri"/>
          <w:b/>
          <w:color w:val="1E293B"/>
          <w:sz w:val="20"/>
        </w:rPr>
        <w:t>At-Cost Wholesale Reserve for ECOWAS &amp; AU Member States:</w:t>
      </w:r>
      <w:r>
        <w:rPr>
          <w:rFonts w:ascii="Calibri" w:hAnsi="Calibri"/>
          <w:color w:val="1E293B"/>
          <w:sz w:val="20"/>
        </w:rPr>
        <w:t xml:space="preserve"> Nigerian Energy-Compute Zones reserve up to </w:t>
      </w:r>
      <w:r>
        <w:rPr>
          <w:rFonts w:ascii="Calibri" w:hAnsi="Calibri"/>
          <w:b/>
          <w:color w:val="1E293B"/>
          <w:sz w:val="20"/>
        </w:rPr>
        <w:t>10%–15% of capacity</w:t>
      </w:r>
      <w:r>
        <w:rPr>
          <w:rFonts w:ascii="Calibri" w:hAnsi="Calibri"/>
          <w:color w:val="1E293B"/>
          <w:sz w:val="20"/>
        </w:rPr>
        <w:t xml:space="preserve"> for sale at wholesale cost to participating ECOWAS and AU governments (settled through the </w:t>
      </w:r>
      <w:r>
        <w:rPr>
          <w:rFonts w:ascii="Calibri" w:hAnsi="Calibri"/>
          <w:b/>
          <w:color w:val="1E293B"/>
          <w:sz w:val="20"/>
        </w:rPr>
        <w:t>Pan-African Payment and Settlement System [PAPSS]</w:t>
      </w:r>
      <w:r>
        <w:rPr>
          <w:rFonts w:ascii="Calibri" w:hAnsi="Calibri"/>
          <w:color w:val="1E293B"/>
          <w:sz w:val="20"/>
        </w:rPr>
        <w:t xml:space="preserve"> in local currencies), allowing smaller West and Central African neighbours to run sovereign health, customs, and agricultural AI without building their own 50 MW gas plants.</w:t>
      </w:r>
    </w:p>
    <w:p>
      <w:pPr>
        <w:spacing w:before="50" w:after="70"/>
        <w:ind w:left="360" w:hanging="360"/>
      </w:pPr>
      <w:r>
        <w:rPr>
          <w:rFonts w:ascii="Calibri" w:hAnsi="Calibri"/>
          <w:b/>
          <w:color w:val="0A3D1F"/>
          <w:sz w:val="20"/>
        </w:rPr>
        <w:t xml:space="preserve">2. </w:t>
      </w:r>
      <w:r>
        <w:rPr>
          <w:rFonts w:ascii="Calibri" w:hAnsi="Calibri"/>
          <w:b/>
          <w:color w:val="1E293B"/>
          <w:sz w:val="20"/>
        </w:rPr>
        <w:t>Interconnecting Regional Peer Hubs via Cassava Technologies and Subsea Fabric:</w:t>
      </w:r>
      <w:r>
        <w:rPr>
          <w:rFonts w:ascii="Calibri" w:hAnsi="Calibri"/>
          <w:color w:val="1E293B"/>
          <w:sz w:val="20"/>
        </w:rPr>
        <w:t xml:space="preserve"> Rather than a hub-and-spoke monopoly, Nigeria anchors a </w:t>
      </w:r>
      <w:r>
        <w:rPr>
          <w:rFonts w:ascii="Calibri" w:hAnsi="Calibri"/>
          <w:b/>
          <w:color w:val="1E293B"/>
          <w:sz w:val="20"/>
        </w:rPr>
        <w:t>federated continental mesh</w:t>
      </w:r>
      <w:r>
        <w:rPr>
          <w:rFonts w:ascii="Calibri" w:hAnsi="Calibri"/>
          <w:color w:val="1E293B"/>
          <w:sz w:val="20"/>
        </w:rPr>
        <w:t xml:space="preserve"> linking Africa's primary regional compute poles:</w:t>
      </w:r>
    </w:p>
    <w:p>
      <w:pPr>
        <w:pStyle w:val="ListBullet"/>
        <w:spacing w:before="40" w:after="60"/>
      </w:pPr>
      <w:r>
        <w:rPr>
          <w:rFonts w:ascii="Calibri" w:hAnsi="Calibri"/>
          <w:b/>
          <w:color w:val="1E293B"/>
          <w:sz w:val="20"/>
        </w:rPr>
        <w:t>West Africa Anchor (Nigeria — Lagos/Ogun/Delta):</w:t>
      </w:r>
      <w:r>
        <w:rPr>
          <w:rFonts w:ascii="Calibri" w:hAnsi="Calibri"/>
          <w:color w:val="1E293B"/>
          <w:sz w:val="20"/>
        </w:rPr>
        <w:t xml:space="preserve"> Gas-powered bulk inference, agricultural/trade Oracles, and West African language models, hosted across </w:t>
      </w:r>
      <w:r>
        <w:rPr>
          <w:rFonts w:ascii="Calibri" w:hAnsi="Calibri"/>
          <w:b/>
          <w:color w:val="1E293B"/>
          <w:sz w:val="20"/>
        </w:rPr>
        <w:t>Kasi Cloud, MTN Genova, Airtel Nxtra, Rack Centre, OADC, and MainOne/Equinix</w:t>
      </w:r>
      <w:r>
        <w:rPr>
          <w:rFonts w:ascii="Calibri" w:hAnsi="Calibri"/>
          <w:color w:val="1E293B"/>
          <w:sz w:val="20"/>
        </w:rPr>
        <w:t>.</w:t>
      </w:r>
    </w:p>
    <w:p>
      <w:pPr>
        <w:pStyle w:val="ListBullet"/>
        <w:spacing w:before="40" w:after="60"/>
      </w:pPr>
      <w:r>
        <w:rPr>
          <w:rFonts w:ascii="Calibri" w:hAnsi="Calibri"/>
          <w:b/>
          <w:color w:val="1E293B"/>
          <w:sz w:val="20"/>
        </w:rPr>
        <w:t>Pan-African Interconnect &amp; Peer Hubs (South Africa, Kenya, Egypt, Morocco):</w:t>
      </w:r>
      <w:r>
        <w:rPr>
          <w:rFonts w:ascii="Calibri" w:hAnsi="Calibri"/>
          <w:color w:val="1E293B"/>
          <w:sz w:val="20"/>
        </w:rPr>
        <w:t xml:space="preserve"> </w:t>
      </w:r>
      <w:r>
        <w:rPr>
          <w:rFonts w:ascii="Calibri" w:hAnsi="Calibri"/>
          <w:b/>
          <w:color w:val="1E293B"/>
          <w:sz w:val="20"/>
        </w:rPr>
        <w:t>Cassava Technologies' Pan-African AI Factory</w:t>
      </w:r>
      <w:r>
        <w:rPr>
          <w:rFonts w:ascii="Calibri" w:hAnsi="Calibri"/>
          <w:color w:val="1E293B"/>
          <w:sz w:val="20"/>
        </w:rPr>
        <w:t xml:space="preserve"> (deploying 12,000 NVIDIA GPUs across South Africa, Nigeria, Kenya, Egypt, and Morocco over 100,000+ km of Liquid Intelligent Technologies terrestrial fibre (</w:t>
      </w:r>
      <w:hyperlink r:id="rId42">
        <w:r>
          <w:rPr>
            <w:rFonts w:ascii="Calibri" w:hAnsi="Calibri"/>
            <w:color w:val="B45309"/>
            <w:u w:val="single"/>
            <w:sz w:val="20"/>
          </w:rPr>
          <w:t>Spheron</w:t>
        </w:r>
      </w:hyperlink>
      <w:r>
        <w:rPr>
          <w:rFonts w:ascii="Calibri" w:hAnsi="Calibri"/>
          <w:color w:val="1E293B"/>
          <w:sz w:val="20"/>
        </w:rPr>
        <w:t>)) alongside Equiano and 2Africa subsea cables provides the ready-made commercial backbone to federate Nigeria's gas-powered zones with Kenya's geothermal compute hubs, South Africa's Teraco/ADC clusters, and North African renewable corridors.</w:t>
      </w:r>
    </w:p>
    <w:p>
      <w:pPr>
        <w:spacing w:before="50" w:after="70"/>
        <w:ind w:left="360" w:hanging="360"/>
      </w:pPr>
      <w:r>
        <w:rPr>
          <w:rFonts w:ascii="Calibri" w:hAnsi="Calibri"/>
          <w:b/>
          <w:color w:val="0A3D1F"/>
          <w:sz w:val="20"/>
        </w:rPr>
        <w:t xml:space="preserve">3. </w:t>
      </w:r>
      <w:r>
        <w:rPr>
          <w:rFonts w:ascii="Calibri" w:hAnsi="Calibri"/>
          <w:b/>
          <w:color w:val="1E293B"/>
          <w:sz w:val="20"/>
        </w:rPr>
        <w:t>Single Bloc Purchasing &amp; Shared Language Commons:</w:t>
      </w:r>
      <w:r>
        <w:rPr>
          <w:rFonts w:ascii="Calibri" w:hAnsi="Calibri"/>
          <w:color w:val="1E293B"/>
          <w:sz w:val="20"/>
        </w:rPr>
        <w:t xml:space="preserve"> The continental pool negotiates GPU supply allocations, export-control safe-harbour assurances, and frontier model licenses as a single 15-nation (ECOWAS) or 55-nation (AU) buyer. Tokenizers, speech corpora, and evaluation Oracles for cross-border languages (Hausa, Yoruba, Fulfulde, Swahili, French, Arabic, Pidgin) are built once and shared royalty-free across all member states.</w:t>
      </w:r>
    </w:p>
    <w:p>
      <w:pPr>
        <w:keepNext/>
        <w:spacing w:before="220" w:after="80"/>
      </w:pPr>
      <w:r>
        <w:rPr>
          <w:rFonts w:ascii="Calibri" w:hAnsi="Calibri"/>
          <w:b/>
          <w:color w:val="0A3D1F"/>
          <w:sz w:val="23"/>
        </w:rPr>
        <w:t>14.2 India as the capability and DPI "Third Pole"</w:t>
      </w:r>
    </w:p>
    <w:p>
      <w:pPr>
        <w:spacing w:before="60" w:after="120" w:line="276" w:lineRule="auto"/>
      </w:pPr>
      <w:r>
        <w:rPr>
          <w:rFonts w:ascii="Calibri" w:hAnsi="Calibri"/>
          <w:color w:val="1E293B"/>
          <w:sz w:val="21"/>
        </w:rPr>
        <w:t xml:space="preserve">A central strategic insight from </w:t>
      </w:r>
      <w:r>
        <w:rPr>
          <w:rFonts w:ascii="Calibri" w:hAnsi="Calibri"/>
          <w:i/>
          <w:color w:val="1E293B"/>
          <w:sz w:val="21"/>
        </w:rPr>
        <w:t>The Oracle and the Partner</w:t>
      </w:r>
      <w:r>
        <w:rPr>
          <w:rFonts w:ascii="Calibri" w:hAnsi="Calibri"/>
          <w:color w:val="1E293B"/>
          <w:sz w:val="21"/>
        </w:rPr>
        <w:t xml:space="preserve"> (Version 3.1; </w:t>
      </w:r>
      <w:hyperlink r:id="rId61">
        <w:r>
          <w:rPr>
            <w:rFonts w:ascii="Calibri" w:hAnsi="Calibri"/>
            <w:color w:val="B45309"/>
            <w:u w:val="single"/>
            <w:sz w:val="21"/>
          </w:rPr>
          <w:t>AI Africa Abundance</w:t>
        </w:r>
      </w:hyperlink>
      <w:r>
        <w:rPr>
          <w:rFonts w:ascii="Calibri" w:hAnsi="Calibri"/>
          <w:color w:val="1E293B"/>
          <w:sz w:val="21"/>
        </w:rPr>
        <w:t xml:space="preserve">) is that Africa's multi-alignment must not be reduced to a binary choice between the United States and China. </w:t>
      </w:r>
      <w:r>
        <w:rPr>
          <w:rFonts w:ascii="Calibri" w:hAnsi="Calibri"/>
          <w:b/>
          <w:color w:val="1E293B"/>
          <w:sz w:val="21"/>
        </w:rPr>
        <w:t>India represents an indispensable third strategic partner</w:t>
      </w:r>
      <w:r>
        <w:rPr>
          <w:rFonts w:ascii="Calibri" w:hAnsi="Calibri"/>
          <w:color w:val="1E293B"/>
          <w:sz w:val="21"/>
        </w:rPr>
        <w:t xml:space="preserve"> with the strongest empirical track record of transferring low-cost, population-scale Digital Public Infrastructure (DPI) and federated AI architectures to African nations:</w:t>
      </w:r>
    </w:p>
    <w:p>
      <w:pPr>
        <w:pStyle w:val="ListBullet"/>
        <w:spacing w:before="40" w:after="60"/>
      </w:pPr>
      <w:r>
        <w:rPr>
          <w:rFonts w:ascii="Calibri" w:hAnsi="Calibri"/>
          <w:b/>
          <w:color w:val="1E293B"/>
          <w:sz w:val="20"/>
        </w:rPr>
        <w:t>Proven DPI Transfer:</w:t>
      </w:r>
      <w:r>
        <w:rPr>
          <w:rFonts w:ascii="Calibri" w:hAnsi="Calibri"/>
          <w:color w:val="1E293B"/>
          <w:sz w:val="20"/>
        </w:rPr>
        <w:t xml:space="preserve"> Multiple African nations (including Morocco, Ethiopia, Sierra Leone, Togo, and Uganda) have already adopted the Indian-origin open-source </w:t>
      </w:r>
      <w:r>
        <w:rPr>
          <w:rFonts w:ascii="Calibri" w:hAnsi="Calibri"/>
          <w:b/>
          <w:color w:val="1E293B"/>
          <w:sz w:val="20"/>
        </w:rPr>
        <w:t>MOSIP</w:t>
      </w:r>
      <w:r>
        <w:rPr>
          <w:rFonts w:ascii="Calibri" w:hAnsi="Calibri"/>
          <w:color w:val="1E293B"/>
          <w:sz w:val="20"/>
        </w:rPr>
        <w:t xml:space="preserve"> digital identity stack; Nigeria and regional peers are expanding instant-payment interoperability learnings from </w:t>
      </w:r>
      <w:r>
        <w:rPr>
          <w:rFonts w:ascii="Calibri" w:hAnsi="Calibri"/>
          <w:b/>
          <w:color w:val="1E293B"/>
          <w:sz w:val="20"/>
        </w:rPr>
        <w:t>UPI</w:t>
      </w:r>
      <w:r>
        <w:rPr>
          <w:rFonts w:ascii="Calibri" w:hAnsi="Calibri"/>
          <w:color w:val="1E293B"/>
          <w:sz w:val="20"/>
        </w:rPr>
        <w:t>; and the Indian Institute of Technology (IIT Madras) established its first international campus in Zanzibar.</w:t>
      </w:r>
    </w:p>
    <w:p>
      <w:pPr>
        <w:pStyle w:val="ListBullet"/>
        <w:spacing w:before="40" w:after="60"/>
      </w:pPr>
      <w:r>
        <w:rPr>
          <w:rFonts w:ascii="Calibri" w:hAnsi="Calibri"/>
          <w:b/>
          <w:color w:val="1E293B"/>
          <w:sz w:val="20"/>
        </w:rPr>
        <w:t>The IndiaAI Mission Template:</w:t>
      </w:r>
      <w:r>
        <w:rPr>
          <w:rFonts w:ascii="Calibri" w:hAnsi="Calibri"/>
          <w:color w:val="1E293B"/>
          <w:sz w:val="20"/>
        </w:rPr>
        <w:t xml:space="preserve"> India's public–private compute model—which scaled past 45,000 GPUs by June 2026 (</w:t>
      </w:r>
      <w:hyperlink r:id="rId51">
        <w:r>
          <w:rPr>
            <w:rFonts w:ascii="Calibri" w:hAnsi="Calibri"/>
            <w:color w:val="B45309"/>
            <w:u w:val="single"/>
            <w:sz w:val="20"/>
          </w:rPr>
          <w:t>Hakky</w:t>
        </w:r>
      </w:hyperlink>
      <w:r>
        <w:rPr>
          <w:rFonts w:ascii="Calibri" w:hAnsi="Calibri"/>
          <w:color w:val="1E293B"/>
          <w:sz w:val="20"/>
        </w:rPr>
        <w:t>) by accrediting private cloud providers and issuing subsidised compute vouchers at ~Rs 100 per GPU-hour (</w:t>
      </w:r>
      <w:hyperlink r:id="rId52">
        <w:r>
          <w:rPr>
            <w:rFonts w:ascii="Calibri" w:hAnsi="Calibri"/>
            <w:color w:val="B45309"/>
            <w:u w:val="single"/>
            <w:sz w:val="20"/>
          </w:rPr>
          <w:t>Communications Today</w:t>
        </w:r>
      </w:hyperlink>
      <w:r>
        <w:rPr>
          <w:rFonts w:ascii="Calibri" w:hAnsi="Calibri"/>
          <w:color w:val="1E293B"/>
          <w:sz w:val="20"/>
        </w:rPr>
        <w:t xml:space="preserve">) alongside the </w:t>
      </w:r>
      <w:r>
        <w:rPr>
          <w:rFonts w:ascii="Calibri" w:hAnsi="Calibri"/>
          <w:i/>
          <w:color w:val="1E293B"/>
          <w:sz w:val="20"/>
        </w:rPr>
        <w:t>Bhashini</w:t>
      </w:r>
      <w:r>
        <w:rPr>
          <w:rFonts w:ascii="Calibri" w:hAnsi="Calibri"/>
          <w:color w:val="1E293B"/>
          <w:sz w:val="20"/>
        </w:rPr>
        <w:t xml:space="preserve"> national language translation mission—is the closest operational analogue to Nigeria's proposed National Compute Exchange and Language Tokenizer Commons.</w:t>
      </w:r>
    </w:p>
    <w:p>
      <w:pPr>
        <w:pStyle w:val="ListBullet"/>
        <w:spacing w:before="40" w:after="60"/>
      </w:pPr>
      <w:r>
        <w:rPr>
          <w:rFonts w:ascii="Calibri" w:hAnsi="Calibri"/>
          <w:b/>
          <w:color w:val="1E293B"/>
          <w:sz w:val="20"/>
        </w:rPr>
        <w:t>Concrete Nigeria–India AI Compact:</w:t>
      </w:r>
      <w:r>
        <w:rPr>
          <w:rFonts w:ascii="Calibri" w:hAnsi="Calibri"/>
          <w:color w:val="1E293B"/>
          <w:sz w:val="20"/>
        </w:rPr>
        <w:t xml:space="preserve"> The Presidential Delivery Council will pursue a bilateral Nigeria–India AI Infrastructure and Capability Compact covering (a) cross-licensing of multilingual voice/tokenizer pipelines (</w:t>
      </w:r>
      <w:r>
        <w:rPr>
          <w:rFonts w:ascii="Calibri" w:hAnsi="Calibri"/>
          <w:i/>
          <w:color w:val="1E293B"/>
          <w:sz w:val="20"/>
        </w:rPr>
        <w:t>Bhashini</w:t>
      </w:r>
      <w:r>
        <w:rPr>
          <w:rFonts w:ascii="Calibri" w:hAnsi="Calibri"/>
          <w:color w:val="1E293B"/>
          <w:sz w:val="20"/>
        </w:rPr>
        <w:t xml:space="preserve"> &lt;-&gt; NCAIR), (b) joint curriculum and engineering fellowships for data-centre liquid cooling and OSAT chip packaging, and (c) reciprocal disaster-recovery compute peering between Indian and Nigerian sovereign research clouds.</w:t>
      </w:r>
    </w:p>
    <w:p>
      <w:pPr>
        <w:keepNext/>
        <w:spacing w:before="320" w:after="120"/>
        <w:pBdr>
          <w:bottom w:val="single" w:sz="12" w:space="4" w:color="B45309"/>
        </w:pBdr>
      </w:pPr>
      <w:r>
        <w:rPr>
          <w:rFonts w:ascii="Calibri" w:hAnsi="Calibri"/>
          <w:b/>
          <w:color w:val="0A3D1F"/>
          <w:sz w:val="29"/>
        </w:rPr>
        <w:t>15. Roadmap 2026–2031: four phases and three hard evidence gates</w:t>
      </w:r>
    </w:p>
    <w:p>
      <w:pPr>
        <w:spacing w:before="60" w:after="120" w:line="276" w:lineRule="auto"/>
      </w:pPr>
      <w:r>
        <w:rPr>
          <w:rFonts w:ascii="Calibri" w:hAnsi="Calibri"/>
          <w:color w:val="1E293B"/>
          <w:sz w:val="21"/>
        </w:rPr>
        <w:t xml:space="preserve">The emergency response executes across four disciplined phases between Q4 2026 and Q4 2031. To protect public finances, </w:t>
      </w:r>
      <w:r>
        <w:rPr>
          <w:rFonts w:ascii="Calibri" w:hAnsi="Calibri"/>
          <w:b/>
          <w:color w:val="1E293B"/>
          <w:sz w:val="21"/>
        </w:rPr>
        <w:t>no subsequent phase can draw major capital until the preceding phase passes a mandatory, quantitative Evidence Gate audited on the Public Ledger.</w:t>
      </w:r>
    </w:p>
    <w:p>
      <w:pPr>
        <w:keepNext/>
        <w:spacing w:before="160" w:after="80"/>
        <w:jc w:val="center"/>
      </w:pPr>
      <w:r>
        <w:drawing>
          <wp:inline xmlns:a="http://schemas.openxmlformats.org/drawingml/2006/main" xmlns:pic="http://schemas.openxmlformats.org/drawingml/2006/picture">
            <wp:extent cx="6217920" cy="3539808"/>
            <wp:docPr id="5" name="Picture 5"/>
            <wp:cNvGraphicFramePr>
              <a:graphicFrameLocks noChangeAspect="1"/>
            </wp:cNvGraphicFramePr>
            <a:graphic>
              <a:graphicData uri="http://schemas.openxmlformats.org/drawingml/2006/picture">
                <pic:pic>
                  <pic:nvPicPr>
                    <pic:cNvPr id="0" name="fig5_roadmap_gates.png"/>
                    <pic:cNvPicPr/>
                  </pic:nvPicPr>
                  <pic:blipFill>
                    <a:blip r:embed="rId73"/>
                    <a:stretch>
                      <a:fillRect/>
                    </a:stretch>
                  </pic:blipFill>
                  <pic:spPr>
                    <a:xfrm>
                      <a:off x="0" y="0"/>
                      <a:ext cx="6217920" cy="3539808"/>
                    </a:xfrm>
                    <a:prstGeom prst="rect"/>
                  </pic:spPr>
                </pic:pic>
              </a:graphicData>
            </a:graphic>
          </wp:inline>
        </w:drawing>
      </w:r>
    </w:p>
    <w:p>
      <w:pPr>
        <w:spacing w:before="0" w:after="200"/>
        <w:jc w:val="center"/>
      </w:pPr>
      <w:r>
        <w:rPr>
          <w:rFonts w:ascii="Calibri" w:hAnsi="Calibri"/>
          <w:b/>
          <w:i/>
          <w:color w:val="0A3D1F"/>
          <w:sz w:val="18"/>
        </w:rPr>
        <w:t>Figure 5: 2026–2031 Four-Phase Execution Roadmap, Evidence Gates &amp; Observatory Loop</w:t>
      </w:r>
    </w:p>
    <w:p>
      <w:pPr>
        <w:keepNext/>
        <w:spacing w:before="220" w:after="80"/>
      </w:pPr>
      <w:r>
        <w:rPr>
          <w:rFonts w:ascii="Calibri" w:hAnsi="Calibri"/>
          <w:b/>
          <w:color w:val="B45309"/>
          <w:sz w:val="23"/>
        </w:rPr>
        <w:t>Table 16: The 2026–2031 Four-Phase Execution Roadmap and Three Hard Evidence Gates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Phase &amp; Timeline</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Core Infrastructure, Governance &amp; Pilot Deliverables</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Mandatory Evidence Gate to Unlock Next Phase (Audited on Public Ledger)</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Phase 1: Foundation, `Nemotron`/`CAIMEx` Pilots &amp; `DSX POD` Site Prep</w:t>
            </w:r>
            <w:r>
              <w:rPr>
                <w:rFonts w:ascii="Calibri" w:hAnsi="Calibri"/>
                <w:color w:val="1E293B"/>
                <w:sz w:val="17"/>
              </w:rPr>
              <w:br/>
            </w:r>
            <w:r>
              <w:rPr>
                <w:rFonts w:ascii="Calibri" w:hAnsi="Calibri"/>
                <w:i/>
                <w:color w:val="1E293B"/>
                <w:sz w:val="17"/>
              </w:rPr>
              <w:t>(Q4 2026 – Q2 2027 · 9 Months)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 FEC declares AI Compute Emergency; President issues Executive Order establishing the </w:t>
            </w:r>
            <w:r>
              <w:rPr>
                <w:rFonts w:ascii="Calibri" w:hAnsi="Calibri"/>
                <w:b/>
                <w:color w:val="1E293B"/>
                <w:sz w:val="17"/>
              </w:rPr>
              <w:t>Presidential Delivery Council</w:t>
            </w:r>
            <w:r>
              <w:rPr>
                <w:rFonts w:ascii="Calibri" w:hAnsi="Calibri"/>
                <w:color w:val="1E293B"/>
                <w:sz w:val="17"/>
              </w:rPr>
              <w:t xml:space="preserve"> (co-chaired with FMCIDE).</w:t>
              <w:br/>
              <w:t xml:space="preserve">• </w:t>
            </w:r>
            <w:r>
              <w:rPr>
                <w:rFonts w:ascii="Calibri" w:hAnsi="Calibri"/>
                <w:b/>
                <w:color w:val="1E293B"/>
                <w:sz w:val="17"/>
              </w:rPr>
              <w:t>Public Ledger v1</w:t>
            </w:r>
            <w:r>
              <w:rPr>
                <w:rFonts w:ascii="Calibri" w:hAnsi="Calibri"/>
                <w:color w:val="1E293B"/>
                <w:sz w:val="17"/>
              </w:rPr>
              <w:t xml:space="preserve"> goes live (NITDA/NCAIR/ICRC/Auditor/CSO validator nodes).</w:t>
              <w:br/>
              <w:t xml:space="preserve">• Execute 6-month </w:t>
            </w:r>
            <w:r>
              <w:rPr>
                <w:rFonts w:ascii="Calibri" w:hAnsi="Calibri"/>
                <w:b/>
                <w:color w:val="1E293B"/>
                <w:sz w:val="17"/>
              </w:rPr>
              <w:t>Annex A Pilot</w:t>
            </w:r>
            <w:r>
              <w:rPr>
                <w:rFonts w:ascii="Calibri" w:hAnsi="Calibri"/>
                <w:color w:val="1E293B"/>
                <w:sz w:val="17"/>
              </w:rPr>
              <w:t xml:space="preserve"> (Cocoa/EUDR AI Advisory) and </w:t>
            </w:r>
            <w:r>
              <w:rPr>
                <w:rFonts w:ascii="Calibri" w:hAnsi="Calibri"/>
                <w:b/>
                <w:color w:val="1E293B"/>
                <w:sz w:val="17"/>
              </w:rPr>
              <w:t>Annex B Pilot</w:t>
            </w:r>
            <w:r>
              <w:rPr>
                <w:rFonts w:ascii="Calibri" w:hAnsi="Calibri"/>
                <w:color w:val="1E293B"/>
                <w:sz w:val="17"/>
              </w:rPr>
              <w:t xml:space="preserve"> (AfCFTA eBDSP Trade Flows Second Brain) using </w:t>
            </w:r>
            <w:r>
              <w:rPr>
                <w:rFonts w:ascii="Calibri" w:hAnsi="Calibri"/>
                <w:b/>
                <w:color w:val="1E293B"/>
                <w:sz w:val="17"/>
              </w:rPr>
              <w:t>Cassava's `CAIMEx Token Optimiser`</w:t>
            </w:r>
            <w:r>
              <w:rPr>
                <w:rFonts w:ascii="Calibri" w:hAnsi="Calibri"/>
                <w:color w:val="1E293B"/>
                <w:sz w:val="17"/>
              </w:rPr>
              <w:t xml:space="preserve">, </w:t>
            </w:r>
            <w:r>
              <w:rPr>
                <w:rFonts w:ascii="Calibri" w:hAnsi="Calibri"/>
                <w:b/>
                <w:color w:val="1E293B"/>
                <w:sz w:val="17"/>
              </w:rPr>
              <w:t>`NVIDIA OpenShell`</w:t>
            </w:r>
            <w:r>
              <w:rPr>
                <w:rFonts w:ascii="Calibri" w:hAnsi="Calibri"/>
                <w:color w:val="1E293B"/>
                <w:sz w:val="17"/>
              </w:rPr>
              <w:t xml:space="preserve">, and fine-tuned </w:t>
            </w:r>
            <w:r>
              <w:rPr>
                <w:rFonts w:ascii="Calibri" w:hAnsi="Calibri"/>
                <w:b/>
                <w:color w:val="1E293B"/>
                <w:sz w:val="17"/>
              </w:rPr>
              <w:t>`NVIDIA Nemotron` open-weight models</w:t>
            </w:r>
            <w:r>
              <w:rPr>
                <w:rFonts w:ascii="Calibri" w:hAnsi="Calibri"/>
                <w:color w:val="1E293B"/>
                <w:sz w:val="17"/>
              </w:rPr>
              <w:t xml:space="preserve"> (</w:t>
            </w:r>
            <w:hyperlink r:id="rId24">
              <w:r>
                <w:rPr>
                  <w:rFonts w:ascii="Calibri" w:hAnsi="Calibri"/>
                  <w:color w:val="B45309"/>
                  <w:u w:val="single"/>
                  <w:sz w:val="17"/>
                </w:rPr>
                <w:t>Cassava Technologies</w:t>
              </w:r>
            </w:hyperlink>
            <w:r>
              <w:rPr>
                <w:rFonts w:ascii="Calibri" w:hAnsi="Calibri"/>
                <w:color w:val="1E293B"/>
                <w:sz w:val="17"/>
              </w:rPr>
              <w:t>).</w:t>
              <w:br/>
              <w:t xml:space="preserve">• Complete National MDA Compute Demand Study, 4-Language Tokenizer Audit, and concrete-pad/fibre site preparation at 3 trapped-power GenCo/IPP sites for </w:t>
            </w:r>
            <w:r>
              <w:rPr>
                <w:rFonts w:ascii="Calibri" w:hAnsi="Calibri"/>
                <w:b/>
                <w:color w:val="1E293B"/>
                <w:sz w:val="17"/>
              </w:rPr>
              <w:t>2027 `NVIDIA DSX POD` delivery</w:t>
            </w:r>
            <w:r>
              <w:rPr>
                <w:rFonts w:ascii="Calibri" w:hAnsi="Calibri"/>
                <w:color w:val="1E293B"/>
                <w:sz w:val="17"/>
              </w:rPr>
              <w:t xml:space="preserve"> (</w:t>
            </w:r>
            <w:hyperlink r:id="rId20">
              <w:r>
                <w:rPr>
                  <w:rFonts w:ascii="Calibri" w:hAnsi="Calibri"/>
                  <w:color w:val="B45309"/>
                  <w:u w:val="single"/>
                  <w:sz w:val="17"/>
                </w:rPr>
                <w:t>NVIDIA Newsroom</w:t>
              </w:r>
            </w:hyperlink>
            <w:r>
              <w:rPr>
                <w:rFonts w:ascii="Calibri" w:hAnsi="Calibri"/>
                <w:color w:val="1E293B"/>
                <w:sz w:val="17"/>
              </w:rPr>
              <w:t>).</w:t>
              <w:br/>
              <w:t xml:space="preserve">• Enact AI Infrastructure Tax Bill (Tier 1 active; Tier 2 at </w:t>
            </w:r>
            <w:r>
              <w:rPr>
                <w:rFonts w:ascii="Calibri" w:hAnsi="Calibri"/>
                <w:b/>
                <w:color w:val="1E293B"/>
                <w:sz w:val="17"/>
              </w:rPr>
              <w:t>0.5% registration rate</w:t>
            </w:r>
            <w:r>
              <w:rPr>
                <w:rFonts w:ascii="Calibri" w:hAnsi="Calibri"/>
                <w:color w:val="1E293B"/>
                <w:sz w:val="17"/>
              </w:rPr>
              <w:t xml:space="preserve"> with NGN 2.5B SME exemption).</w:t>
              <w:br/>
              <w:t>• Issue ICRC Model PPP RFPs for Energy-Compute Zones 1 &amp; 2 (Lekki/Eko Atlantic &amp; Ogun) and Trapped-Power DSX POD Concessions.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EVIDENCE GATE 1 (End of Q2 2027):</w:t>
            </w:r>
            <w:r>
              <w:rPr>
                <w:rFonts w:ascii="Calibri" w:hAnsi="Calibri"/>
                <w:color w:val="1E293B"/>
                <w:sz w:val="17"/>
              </w:rPr>
              <w:br/>
              <w:t xml:space="preserve">1. Annex A &amp; Annex B pilots publish audited </w:t>
            </w:r>
            <w:r>
              <w:rPr>
                <w:rFonts w:ascii="Calibri" w:hAnsi="Calibri"/>
                <w:b/>
                <w:color w:val="1E293B"/>
                <w:sz w:val="17"/>
              </w:rPr>
              <w:t>Stage-1 Cost per Verified Resolution (NGN)</w:t>
            </w:r>
            <w:r>
              <w:rPr>
                <w:rFonts w:ascii="Calibri" w:hAnsi="Calibri"/>
                <w:color w:val="1E293B"/>
                <w:sz w:val="17"/>
              </w:rPr>
              <w:t xml:space="preserve">, verified </w:t>
            </w:r>
            <w:r>
              <w:rPr>
                <w:rFonts w:ascii="Consolas" w:hAnsi="Consolas"/>
                <w:b/>
                <w:color w:val="0A3D1F"/>
                <w:sz w:val="16"/>
              </w:rPr>
              <w:t>CAIMEx</w:t>
            </w:r>
            <w:r>
              <w:rPr>
                <w:rFonts w:ascii="Calibri" w:hAnsi="Calibri"/>
                <w:color w:val="1E293B"/>
                <w:sz w:val="17"/>
              </w:rPr>
              <w:t xml:space="preserve"> token-deduplication savings, and &gt;=85% expert-verified accuracy.</w:t>
              <w:br/>
              <w:t>2. Public Ledger v1 passes independent security and transaction-traceability audit.</w:t>
              <w:br/>
              <w:t>3. Firm gas-supply (NUPRC), trapped-power IPP wheeling waivers (NERC), and dark-fibre drops signed for Zones 1 &amp; 2 and DSX POD sites.</w:t>
              <w:br/>
            </w:r>
            <w:r>
              <w:rPr>
                <w:rFonts w:ascii="Calibri" w:hAnsi="Calibri"/>
                <w:i/>
                <w:color w:val="1E293B"/>
                <w:sz w:val="17"/>
              </w:rPr>
              <w:t>(No Zone availability-payment guarantees are signed until Gate 1 is passed.)</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Phase 2: Anchor Build, 14-Day `DSX POD` Rollout &amp; Oracle Launch</w:t>
            </w:r>
            <w:r>
              <w:rPr>
                <w:rFonts w:ascii="Calibri" w:hAnsi="Calibri"/>
                <w:color w:val="1E293B"/>
                <w:sz w:val="17"/>
              </w:rPr>
              <w:br/>
            </w:r>
            <w:r>
              <w:rPr>
                <w:rFonts w:ascii="Calibri" w:hAnsi="Calibri"/>
                <w:i/>
                <w:color w:val="1E293B"/>
                <w:sz w:val="17"/>
              </w:rPr>
              <w:t>(Q3 2027 – Q4 2028 · 18 Months)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 Financial close on </w:t>
            </w:r>
            <w:r>
              <w:rPr>
                <w:rFonts w:ascii="Calibri" w:hAnsi="Calibri"/>
                <w:b/>
                <w:color w:val="1E293B"/>
                <w:sz w:val="17"/>
              </w:rPr>
              <w:t>Energy-Compute Zones 1 &amp; 2</w:t>
            </w:r>
            <w:r>
              <w:rPr>
                <w:rFonts w:ascii="Calibri" w:hAnsi="Calibri"/>
                <w:color w:val="1E293B"/>
                <w:sz w:val="17"/>
              </w:rPr>
              <w:t xml:space="preserve"> ($1.8B Floor capital stack mobilised with NSIA, DFIs, Kasi, Cassava–NVIDIA, MTN, Airtel, Tetracore).</w:t>
              <w:br/>
              <w:t xml:space="preserve">• Take delivery of commercial </w:t>
            </w:r>
            <w:r>
              <w:rPr>
                <w:rFonts w:ascii="Calibri" w:hAnsi="Calibri"/>
                <w:b/>
                <w:color w:val="1E293B"/>
                <w:sz w:val="17"/>
              </w:rPr>
              <w:t>`NVIDIA DSX POD` containerised AI factories (starting H2 2027)</w:t>
            </w:r>
            <w:r>
              <w:rPr>
                <w:rFonts w:ascii="Calibri" w:hAnsi="Calibri"/>
                <w:color w:val="1E293B"/>
                <w:sz w:val="17"/>
              </w:rPr>
              <w:t xml:space="preserve"> at prepared Niger Delta trapped-gas and Middle Belt hydro sites, commissioning pods in </w:t>
            </w:r>
            <w:r>
              <w:rPr>
                <w:rFonts w:ascii="Calibri" w:hAnsi="Calibri"/>
                <w:b/>
                <w:color w:val="1E293B"/>
                <w:sz w:val="17"/>
              </w:rPr>
              <w:t>14 days on-site</w:t>
            </w:r>
            <w:r>
              <w:rPr>
                <w:rFonts w:ascii="Calibri" w:hAnsi="Calibri"/>
                <w:color w:val="1E293B"/>
                <w:sz w:val="17"/>
              </w:rPr>
              <w:t xml:space="preserve"> (</w:t>
            </w:r>
            <w:hyperlink r:id="rId21">
              <w:r>
                <w:rPr>
                  <w:rFonts w:ascii="Calibri" w:hAnsi="Calibri"/>
                  <w:color w:val="B45309"/>
                  <w:u w:val="single"/>
                  <w:sz w:val="17"/>
                </w:rPr>
                <w:t>NVIDIA Developer Blog</w:t>
              </w:r>
            </w:hyperlink>
            <w:r>
              <w:rPr>
                <w:rFonts w:ascii="Calibri" w:hAnsi="Calibri"/>
                <w:color w:val="1E293B"/>
                <w:sz w:val="17"/>
              </w:rPr>
              <w:t>) alongside the turnkey air-gapped defence DSX POD enclave.</w:t>
              <w:br/>
              <w:t xml:space="preserve">• Commission </w:t>
            </w:r>
            <w:r>
              <w:rPr>
                <w:rFonts w:ascii="Calibri" w:hAnsi="Calibri"/>
                <w:b/>
                <w:color w:val="1E293B"/>
                <w:sz w:val="17"/>
              </w:rPr>
              <w:t>first 10,000 H100-eq GPUs (~15 MW)</w:t>
            </w:r>
            <w:r>
              <w:rPr>
                <w:rFonts w:ascii="Calibri" w:hAnsi="Calibri"/>
                <w:color w:val="1E293B"/>
                <w:sz w:val="17"/>
              </w:rPr>
              <w:t xml:space="preserve"> under domestic control.</w:t>
              <w:br/>
              <w:t xml:space="preserve">• Launch </w:t>
            </w:r>
            <w:r>
              <w:rPr>
                <w:rFonts w:ascii="Calibri" w:hAnsi="Calibri"/>
                <w:b/>
                <w:color w:val="1E293B"/>
                <w:sz w:val="17"/>
              </w:rPr>
              <w:t>National Compute Exchange v1</w:t>
            </w:r>
            <w:r>
              <w:rPr>
                <w:rFonts w:ascii="Calibri" w:hAnsi="Calibri"/>
                <w:color w:val="1E293B"/>
                <w:sz w:val="17"/>
              </w:rPr>
              <w:t xml:space="preserve"> and Naira Compute Vouchers.</w:t>
              <w:br/>
              <w:t xml:space="preserve">• Release open Nigerian-language </w:t>
            </w:r>
            <w:r>
              <w:rPr>
                <w:rFonts w:ascii="Consolas" w:hAnsi="Consolas"/>
                <w:b/>
                <w:color w:val="0A3D1F"/>
                <w:sz w:val="16"/>
              </w:rPr>
              <w:t>Nemotron</w:t>
            </w:r>
            <w:r>
              <w:rPr>
                <w:rFonts w:ascii="Calibri" w:hAnsi="Calibri"/>
                <w:color w:val="1E293B"/>
                <w:sz w:val="17"/>
              </w:rPr>
              <w:t>/Llama tokenizers (cutting Yoruba/Hausa/Igbo/Pidgin token penalty below 1.25x).</w:t>
              <w:br/>
              <w:t xml:space="preserve">• Publish </w:t>
            </w:r>
            <w:r>
              <w:rPr>
                <w:rFonts w:ascii="Calibri" w:hAnsi="Calibri"/>
                <w:b/>
                <w:color w:val="1E293B"/>
                <w:sz w:val="17"/>
              </w:rPr>
              <w:t>Wave 1 Oracles (first 15 benchmarks)</w:t>
            </w:r>
            <w:r>
              <w:rPr>
                <w:rFonts w:ascii="Calibri" w:hAnsi="Calibri"/>
                <w:color w:val="1E293B"/>
                <w:sz w:val="17"/>
              </w:rPr>
              <w:t xml:space="preserve"> backed by prize bounties.</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EVIDENCE GATE 2 (End of Q4 2028):</w:t>
            </w:r>
            <w:r>
              <w:rPr>
                <w:rFonts w:ascii="Calibri" w:hAnsi="Calibri"/>
                <w:color w:val="1E293B"/>
                <w:sz w:val="17"/>
              </w:rPr>
              <w:br/>
              <w:t xml:space="preserve">1. Independent Ledger telemetry confirms </w:t>
            </w:r>
            <w:r>
              <w:rPr>
                <w:rFonts w:ascii="Calibri" w:hAnsi="Calibri"/>
                <w:b/>
                <w:color w:val="1E293B"/>
                <w:sz w:val="17"/>
              </w:rPr>
              <w:t>&gt;=10,000 domestic GPUs live at &gt;=99.9% uptime</w:t>
            </w:r>
            <w:r>
              <w:rPr>
                <w:rFonts w:ascii="Calibri" w:hAnsi="Calibri"/>
                <w:color w:val="1E293B"/>
                <w:sz w:val="17"/>
              </w:rPr>
              <w:t xml:space="preserve"> and PUE &lt;=1.28.</w:t>
              <w:br/>
              <w:t xml:space="preserve">2. Only upon passing this certification does </w:t>
            </w:r>
            <w:r>
              <w:rPr>
                <w:rFonts w:ascii="Calibri" w:hAnsi="Calibri"/>
                <w:b/>
                <w:color w:val="1E293B"/>
                <w:sz w:val="17"/>
              </w:rPr>
              <w:t>Tier-2 Offshore Compute Levy step up to 2.5%</w:t>
            </w:r>
            <w:r>
              <w:rPr>
                <w:rFonts w:ascii="Calibri" w:hAnsi="Calibri"/>
                <w:color w:val="1E293B"/>
                <w:sz w:val="17"/>
              </w:rPr>
              <w:t>.</w:t>
              <w:br/>
              <w:t>3. Priority Portfolio demonstrates &gt;=65% sustained utilisation of the 20% Sovereign Reserve and positive Stage-2 Oracle outcomes.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Phase 3: National Grid &amp; Continental Pool Scale</w:t>
            </w:r>
            <w:r>
              <w:rPr>
                <w:rFonts w:ascii="Calibri" w:hAnsi="Calibri"/>
                <w:color w:val="1E293B"/>
                <w:sz w:val="17"/>
              </w:rPr>
              <w:br/>
            </w:r>
            <w:r>
              <w:rPr>
                <w:rFonts w:ascii="Calibri" w:hAnsi="Calibri"/>
                <w:i/>
                <w:color w:val="1E293B"/>
                <w:sz w:val="17"/>
              </w:rPr>
              <w:t>(2029 – 2030 · 24 Months)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 Expand Tier-1 capacity to </w:t>
            </w:r>
            <w:r>
              <w:rPr>
                <w:rFonts w:ascii="Calibri" w:hAnsi="Calibri"/>
                <w:b/>
                <w:color w:val="1E293B"/>
                <w:sz w:val="17"/>
              </w:rPr>
              <w:t>25,000+ GPUs (~35 MW)</w:t>
            </w:r>
            <w:r>
              <w:rPr>
                <w:rFonts w:ascii="Calibri" w:hAnsi="Calibri"/>
                <w:color w:val="1E293B"/>
                <w:sz w:val="17"/>
              </w:rPr>
              <w:t xml:space="preserve"> across Lagos, Ogun, and Niger Delta gas zones.</w:t>
              <w:br/>
              <w:t xml:space="preserve">• Roll out </w:t>
            </w:r>
            <w:r>
              <w:rPr>
                <w:rFonts w:ascii="Calibri" w:hAnsi="Calibri"/>
                <w:b/>
                <w:color w:val="1E293B"/>
                <w:sz w:val="17"/>
              </w:rPr>
              <w:t>36 State Edge Nodes (Tier 2)</w:t>
            </w:r>
            <w:r>
              <w:rPr>
                <w:rFonts w:ascii="Calibri" w:hAnsi="Calibri"/>
                <w:color w:val="1E293B"/>
                <w:sz w:val="17"/>
              </w:rPr>
              <w:t xml:space="preserve"> and </w:t>
            </w:r>
            <w:r>
              <w:rPr>
                <w:rFonts w:ascii="Calibri" w:hAnsi="Calibri"/>
                <w:b/>
                <w:color w:val="1E293B"/>
                <w:sz w:val="17"/>
              </w:rPr>
              <w:t>2,500+ Campus/Clinic Appliances (Tier 3)</w:t>
            </w:r>
            <w:r>
              <w:rPr>
                <w:rFonts w:ascii="Calibri" w:hAnsi="Calibri"/>
                <w:color w:val="1E293B"/>
                <w:sz w:val="17"/>
              </w:rPr>
              <w:t xml:space="preserve"> via NITDA pooled procurement.</w:t>
              <w:br/>
              <w:t xml:space="preserve">• Operationalise </w:t>
            </w:r>
            <w:r>
              <w:rPr>
                <w:rFonts w:ascii="Calibri" w:hAnsi="Calibri"/>
                <w:b/>
                <w:color w:val="1E293B"/>
                <w:sz w:val="17"/>
              </w:rPr>
              <w:t>ECOWAS &amp; AU Pooled Compute Agreements</w:t>
            </w:r>
            <w:r>
              <w:rPr>
                <w:rFonts w:ascii="Calibri" w:hAnsi="Calibri"/>
                <w:color w:val="1E293B"/>
                <w:sz w:val="17"/>
              </w:rPr>
              <w:t xml:space="preserve"> (settled via PAPSS and linked via Cassava/subsea fibre).</w:t>
              <w:br/>
              <w:t xml:space="preserve">• Commission domestic </w:t>
            </w:r>
            <w:r>
              <w:rPr>
                <w:rFonts w:ascii="Calibri" w:hAnsi="Calibri"/>
                <w:b/>
                <w:color w:val="1E293B"/>
                <w:sz w:val="17"/>
              </w:rPr>
              <w:t>OSAT Chip Packaging &amp; Server Assembly JV</w:t>
            </w:r>
            <w:r>
              <w:rPr>
                <w:rFonts w:ascii="Calibri" w:hAnsi="Calibri"/>
                <w:color w:val="1E293B"/>
                <w:sz w:val="17"/>
              </w:rPr>
              <w:t>.</w:t>
              <w:br/>
              <w:t xml:space="preserve">• Scale active Development Oracles to </w:t>
            </w:r>
            <w:r>
              <w:rPr>
                <w:rFonts w:ascii="Calibri" w:hAnsi="Calibri"/>
                <w:b/>
                <w:color w:val="1E293B"/>
                <w:sz w:val="17"/>
              </w:rPr>
              <w:t>35+ published benchmarks</w:t>
            </w:r>
            <w:r>
              <w:rPr>
                <w:rFonts w:ascii="Calibri" w:hAnsi="Calibri"/>
                <w:color w:val="1E293B"/>
                <w:sz w:val="17"/>
              </w:rPr>
              <w:t>.</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EVIDENCE GATE 3 (Mid-2030):</w:t>
            </w:r>
            <w:r>
              <w:rPr>
                <w:rFonts w:ascii="Calibri" w:hAnsi="Calibri"/>
                <w:color w:val="1E293B"/>
                <w:sz w:val="17"/>
              </w:rPr>
              <w:br/>
              <w:t xml:space="preserve">1. Ledger Auditor certifies domestic zone inference pricing is within </w:t>
            </w:r>
            <w:r>
              <w:rPr>
                <w:rFonts w:ascii="Calibri" w:hAnsi="Calibri"/>
                <w:b/>
                <w:color w:val="1E293B"/>
                <w:sz w:val="17"/>
              </w:rPr>
              <w:t>&lt;=10% of offshore equivalents</w:t>
            </w:r>
            <w:r>
              <w:rPr>
                <w:rFonts w:ascii="Calibri" w:hAnsi="Calibri"/>
                <w:color w:val="1E293B"/>
                <w:sz w:val="17"/>
              </w:rPr>
              <w:t xml:space="preserve"> (unlocking the final </w:t>
            </w:r>
            <w:r>
              <w:rPr>
                <w:rFonts w:ascii="Calibri" w:hAnsi="Calibri"/>
                <w:b/>
                <w:color w:val="1E293B"/>
                <w:sz w:val="17"/>
              </w:rPr>
              <w:t>Tier-2 5.0% rate</w:t>
            </w:r>
            <w:r>
              <w:rPr>
                <w:rFonts w:ascii="Calibri" w:hAnsi="Calibri"/>
                <w:color w:val="1E293B"/>
                <w:sz w:val="17"/>
              </w:rPr>
              <w:t xml:space="preserve"> for large non-compliant offshore buyers).</w:t>
              <w:br/>
              <w:t>2. All 36 states and FCT record live per-capita compute telemetry on the Public Ledger.</w:t>
              <w:br/>
              <w:t>3. At least 3 ECOWAS partner states actively run sovereign workloads on the pool.</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Phase 4: Sovereign Floor, Consolidation &amp; Sunset</w:t>
            </w:r>
            <w:r>
              <w:rPr>
                <w:rFonts w:ascii="Calibri" w:hAnsi="Calibri"/>
                <w:color w:val="1E293B"/>
                <w:sz w:val="17"/>
              </w:rPr>
              <w:br/>
            </w:r>
            <w:r>
              <w:rPr>
                <w:rFonts w:ascii="Calibri" w:hAnsi="Calibri"/>
                <w:i/>
                <w:color w:val="1E293B"/>
                <w:sz w:val="17"/>
              </w:rPr>
              <w:t>(2031 · 12 Months)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 Achieve full </w:t>
            </w:r>
            <w:r>
              <w:rPr>
                <w:rFonts w:ascii="Calibri" w:hAnsi="Calibri"/>
                <w:b/>
                <w:color w:val="1E293B"/>
                <w:sz w:val="17"/>
              </w:rPr>
              <w:t>32,000-GPU Minimum Sovereign Floor (45 MW)</w:t>
            </w:r>
            <w:r>
              <w:rPr>
                <w:rFonts w:ascii="Calibri" w:hAnsi="Calibri"/>
                <w:color w:val="1E293B"/>
                <w:sz w:val="17"/>
              </w:rPr>
              <w:t xml:space="preserve"> and progress toward </w:t>
            </w:r>
            <w:r>
              <w:rPr>
                <w:rFonts w:ascii="Calibri" w:hAnsi="Calibri"/>
                <w:b/>
                <w:color w:val="1E293B"/>
                <w:sz w:val="17"/>
              </w:rPr>
              <w:t>120,000-GPU Strategic Target (170 MW)</w:t>
            </w:r>
            <w:r>
              <w:rPr>
                <w:rFonts w:ascii="Calibri" w:hAnsi="Calibri"/>
                <w:color w:val="1E293B"/>
                <w:sz w:val="17"/>
              </w:rPr>
              <w:t>.</w:t>
              <w:br/>
              <w:t>• Complete mid-window GPU lease refresh to next-generation accelerators.</w:t>
              <w:br/>
              <w:t xml:space="preserve">• Reach </w:t>
            </w:r>
            <w:r>
              <w:rPr>
                <w:rFonts w:ascii="Calibri" w:hAnsi="Calibri"/>
                <w:b/>
                <w:color w:val="1E293B"/>
                <w:sz w:val="17"/>
              </w:rPr>
              <w:t>50+ active African Development Oracles</w:t>
            </w:r>
            <w:r>
              <w:rPr>
                <w:rFonts w:ascii="Calibri" w:hAnsi="Calibri"/>
                <w:color w:val="1E293B"/>
                <w:sz w:val="17"/>
              </w:rPr>
              <w:t xml:space="preserve"> and full local-language accuracy parity.</w:t>
              <w:br/>
              <w:t xml:space="preserve">• Execute </w:t>
            </w:r>
            <w:r>
              <w:rPr>
                <w:rFonts w:ascii="Calibri" w:hAnsi="Calibri"/>
                <w:b/>
                <w:color w:val="1E293B"/>
                <w:sz w:val="17"/>
              </w:rPr>
              <w:t>statutory sunset</w:t>
            </w:r>
            <w:r>
              <w:rPr>
                <w:rFonts w:ascii="Calibri" w:hAnsi="Calibri"/>
                <w:color w:val="1E293B"/>
                <w:sz w:val="17"/>
              </w:rPr>
              <w:t xml:space="preserve"> of the 3-Tier AI Infrastructure Tax and the temporary Presidential Delivery Council on </w:t>
            </w:r>
            <w:r>
              <w:rPr>
                <w:rFonts w:ascii="Calibri" w:hAnsi="Calibri"/>
                <w:b/>
                <w:color w:val="1E293B"/>
                <w:sz w:val="17"/>
              </w:rPr>
              <w:t>31 December 2031</w:t>
            </w:r>
            <w:r>
              <w:rPr>
                <w:rFonts w:ascii="Calibri" w:hAnsi="Calibri"/>
                <w:color w:val="1E293B"/>
                <w:sz w:val="17"/>
              </w:rPr>
              <w:t>.</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FINAL HANDOVER AUDIT (Q4 2031):</w:t>
            </w:r>
            <w:r>
              <w:rPr>
                <w:rFonts w:ascii="Calibri" w:hAnsi="Calibri"/>
                <w:color w:val="1E293B"/>
                <w:sz w:val="17"/>
              </w:rPr>
              <w:br/>
              <w:t>Full financial and performance audit published to the National Assembly and Public Ledger; ongoing regulatory, exchange, and fund custody transferred permanently to FMCIDE, NITDA, NCAIR, NSIA, and the National AI Trust.</w:t>
            </w:r>
          </w:p>
        </w:tc>
      </w:tr>
    </w:tbl>
    <w:p>
      <w:pPr>
        <w:spacing w:before="0" w:after="120"/>
      </w:pPr>
    </w:p>
    <w:p>
      <w:pPr>
        <w:keepNext/>
        <w:spacing w:before="320" w:after="120"/>
        <w:pBdr>
          <w:bottom w:val="single" w:sz="12" w:space="4" w:color="B45309"/>
        </w:pBdr>
      </w:pPr>
      <w:r>
        <w:rPr>
          <w:rFonts w:ascii="Calibri" w:hAnsi="Calibri"/>
          <w:b/>
          <w:color w:val="0A3D1F"/>
          <w:sz w:val="29"/>
        </w:rPr>
        <w:t>16. Comprehensive risk matrix and structural mitigations</w:t>
      </w:r>
    </w:p>
    <w:p>
      <w:pPr>
        <w:keepNext/>
        <w:spacing w:before="220" w:after="80"/>
      </w:pPr>
      <w:r>
        <w:rPr>
          <w:rFonts w:ascii="Calibri" w:hAnsi="Calibri"/>
          <w:b/>
          <w:color w:val="B45309"/>
          <w:sz w:val="23"/>
        </w:rPr>
        <w:t>Table 17: Sixteen Structural Risks and Built-In Engineering / Governance Mitigations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Risk Category</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Specific Failure Mode</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Built-In Mitigation in Strategy v2.0</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 Institutional Turf War</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Friction between the new Task Force and FMCIDE, NITDA, NCAIR, or NSIA stalls execution.</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Presidential Delivery Council co-chaired by FMCIDE Minister</w:t>
            </w:r>
            <w:r>
              <w:rPr>
                <w:rFonts w:ascii="Calibri" w:hAnsi="Calibri"/>
                <w:color w:val="1E293B"/>
                <w:sz w:val="17"/>
              </w:rPr>
              <w:t>, using NITDA, NCAIR, NSIA, and the National AI Trust as its statutory execution secretariat; hard 2031 sunset.</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2. White-Elephant Idle Capacity</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GPUs are built in Lagos/Ogun but sit under-utilised due to weak public or private integration.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Government </w:t>
            </w:r>
            <w:r>
              <w:rPr>
                <w:rFonts w:ascii="Calibri" w:hAnsi="Calibri"/>
                <w:b/>
                <w:color w:val="1E293B"/>
                <w:sz w:val="17"/>
              </w:rPr>
              <w:t>20% anchor availability contract</w:t>
            </w:r>
            <w:r>
              <w:rPr>
                <w:rFonts w:ascii="Calibri" w:hAnsi="Calibri"/>
                <w:color w:val="1E293B"/>
                <w:sz w:val="17"/>
              </w:rPr>
              <w:t>; staged build gated by Gates 1–3; National Compute Exchange sells idle slots to SMEs, universities, and ECOWAS neighbours.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3. Gas Supply or Grid Interruption</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Pipeline vandalism or grid collapse halts data-centre operations.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Siting directly on </w:t>
            </w:r>
            <w:r>
              <w:rPr>
                <w:rFonts w:ascii="Calibri" w:hAnsi="Calibri"/>
                <w:b/>
                <w:color w:val="1E293B"/>
                <w:sz w:val="17"/>
              </w:rPr>
              <w:t>ELPS/WAGP gas manifolds</w:t>
            </w:r>
            <w:r>
              <w:rPr>
                <w:rFonts w:ascii="Calibri" w:hAnsi="Calibri"/>
                <w:color w:val="1E293B"/>
                <w:sz w:val="17"/>
              </w:rPr>
              <w:t>; 15–20 year firm gas contracts with liquidated damages; on-site solar + battery energy storage (BESS) for N+1 ride-through.</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4. US / China Export-Control Contagion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Deploying Huawei chips inside a shared SPV triggers US BIS secondary sanctions, freezing NVIDIA/DFI access.</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Strict entity-level corporate, legal, balance-sheet, and network separation</w:t>
            </w:r>
            <w:r>
              <w:rPr>
                <w:rFonts w:ascii="Calibri" w:hAnsi="Calibri"/>
                <w:color w:val="1E293B"/>
                <w:sz w:val="17"/>
              </w:rPr>
              <w:t xml:space="preserve"> (SPV-A vs. SPV-B); zero restricted gear in US/DFI SPVs; model-agnostic API gateways.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5. Foreign API Shutdown</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A foreign vendor or government suspends frontier model access (as in June 2026 (</w:t>
            </w:r>
            <w:hyperlink r:id="rId16">
              <w:r>
                <w:rPr>
                  <w:rFonts w:ascii="Calibri" w:hAnsi="Calibri"/>
                  <w:color w:val="B45309"/>
                  <w:u w:val="single"/>
                  <w:sz w:val="17"/>
                </w:rPr>
                <w:t>AU Startups</w:t>
              </w:r>
            </w:hyperlink>
            <w:r>
              <w:rPr>
                <w:rFonts w:ascii="Calibri" w:hAnsi="Calibri"/>
                <w:color w:val="1E293B"/>
                <w:sz w:val="17"/>
              </w:rPr>
              <w:t>)).</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Mandatory </w:t>
            </w:r>
            <w:r>
              <w:rPr>
                <w:rFonts w:ascii="Calibri" w:hAnsi="Calibri"/>
                <w:b/>
                <w:color w:val="1E293B"/>
                <w:sz w:val="17"/>
              </w:rPr>
              <w:t>local weight escrow</w:t>
            </w:r>
            <w:r>
              <w:rPr>
                <w:rFonts w:ascii="Calibri" w:hAnsi="Calibri"/>
                <w:color w:val="1E293B"/>
                <w:sz w:val="17"/>
              </w:rPr>
              <w:t>; at least two qualified stacks per public workflow; automatic 24-hour failover to self-hosted open-weight models on domestic GPUs.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6. Offshore Tax Backlash by Tech Sector</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Immediate 5% tax hurts Nigerian startups and banks before local GPUs are reliable.</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NGN 2.5 billion turnover exemption</w:t>
            </w:r>
            <w:r>
              <w:rPr>
                <w:rFonts w:ascii="Calibri" w:hAnsi="Calibri"/>
                <w:color w:val="1E293B"/>
                <w:sz w:val="17"/>
              </w:rPr>
              <w:t xml:space="preserve"> shields 100% of startups/SMEs; </w:t>
            </w:r>
            <w:r>
              <w:rPr>
                <w:rFonts w:ascii="Calibri" w:hAnsi="Calibri"/>
                <w:b/>
                <w:color w:val="1E293B"/>
                <w:sz w:val="17"/>
              </w:rPr>
              <w:t>readiness-gated rate</w:t>
            </w:r>
            <w:r>
              <w:rPr>
                <w:rFonts w:ascii="Calibri" w:hAnsi="Calibri"/>
                <w:color w:val="1E293B"/>
                <w:sz w:val="17"/>
              </w:rPr>
              <w:t xml:space="preserve"> (0.5% in 2027 -&gt; 2.5% in 2028 -&gt; 5.0% in 2029+ only after &gt;=99.9% uptime &amp; price parity); 100% onshore credit.</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7. Import Surcharge Inflation</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Blanket import tariffs raise data-centre build costs or shelter weak local factories.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0% customs duty on all GPUs, servers, and cooling gear</w:t>
            </w:r>
            <w:r>
              <w:rPr>
                <w:rFonts w:ascii="Calibri" w:hAnsi="Calibri"/>
                <w:color w:val="1E293B"/>
                <w:sz w:val="17"/>
              </w:rPr>
              <w:t xml:space="preserve">; Tier-3 IAT applies </w:t>
            </w:r>
            <w:r>
              <w:rPr>
                <w:rFonts w:ascii="Calibri" w:hAnsi="Calibri"/>
                <w:i/>
                <w:color w:val="1E293B"/>
                <w:sz w:val="17"/>
              </w:rPr>
              <w:t>only</w:t>
            </w:r>
            <w:r>
              <w:rPr>
                <w:rFonts w:ascii="Calibri" w:hAnsi="Calibri"/>
                <w:color w:val="1E293B"/>
                <w:sz w:val="17"/>
              </w:rPr>
              <w:t xml:space="preserve"> to SON-certified ancillary goods (racks, cables), steps down 20%/yr, and exempts ECOWAS/AfCFTA goods.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8. Currency Mismatch &amp; FX Drain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Naira depreciation makes dollar GPU leases unserviceable from naira public budgets.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40%–45% local CapEx funded in naira; 80% commercial revenue (including hard-currency regional sales); </w:t>
            </w:r>
            <w:r>
              <w:rPr>
                <w:rFonts w:ascii="Calibri" w:hAnsi="Calibri"/>
                <w:b/>
                <w:color w:val="1E293B"/>
                <w:sz w:val="17"/>
              </w:rPr>
              <w:t>$80M–$130M DFI/NSIA first-loss FX Liquidity Reserve Account</w:t>
            </w:r>
            <w:r>
              <w:rPr>
                <w:rFonts w:ascii="Calibri" w:hAnsi="Calibri"/>
                <w:color w:val="1E293B"/>
                <w:sz w:val="17"/>
              </w:rPr>
              <w:t>.</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9. Hidden Sovereign Debt via PPPs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Uncapped availability payments create an off-balance-sheet fiscal trap.</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Availability payments </w:t>
            </w:r>
            <w:r>
              <w:rPr>
                <w:rFonts w:ascii="Calibri" w:hAnsi="Calibri"/>
                <w:b/>
                <w:color w:val="1E293B"/>
                <w:sz w:val="17"/>
              </w:rPr>
              <w:t>strictly capped at the ring-fenced receipts of the AI Infrastructure Fund</w:t>
            </w:r>
            <w:r>
              <w:rPr>
                <w:rFonts w:ascii="Calibri" w:hAnsi="Calibri"/>
                <w:color w:val="1E293B"/>
                <w:sz w:val="17"/>
              </w:rPr>
              <w:t>; all contingent liabilities published on the Public Ledger; ICRC value-for-money sign-off.</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10. Goodhart's Law / Token Gaming</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MDAs burn tokens on useless chatbot chatter to claim higher compute quotas.</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Two-Stage Anti-Gaming Gate:</w:t>
            </w:r>
            <w:r>
              <w:rPr>
                <w:rFonts w:ascii="Calibri" w:hAnsi="Calibri"/>
                <w:color w:val="1E293B"/>
                <w:sz w:val="17"/>
              </w:rPr>
              <w:t xml:space="preserve"> Quarterly audited </w:t>
            </w:r>
            <w:r>
              <w:rPr>
                <w:rFonts w:ascii="Calibri" w:hAnsi="Calibri"/>
                <w:i/>
                <w:color w:val="1E293B"/>
                <w:sz w:val="17"/>
              </w:rPr>
              <w:t>Cost per Verified Resolution (NGN)</w:t>
            </w:r>
            <w:r>
              <w:rPr>
                <w:rFonts w:ascii="Calibri" w:hAnsi="Calibri"/>
                <w:color w:val="1E293B"/>
                <w:sz w:val="17"/>
              </w:rPr>
              <w:t xml:space="preserve"> (5% human expert sample) + Semi-Annual </w:t>
            </w:r>
            <w:r>
              <w:rPr>
                <w:rFonts w:ascii="Calibri" w:hAnsi="Calibri"/>
                <w:i/>
                <w:color w:val="1E293B"/>
                <w:sz w:val="17"/>
              </w:rPr>
              <w:t>Oracle Outcome Gate</w:t>
            </w:r>
            <w:r>
              <w:rPr>
                <w:rFonts w:ascii="Calibri" w:hAnsi="Calibri"/>
                <w:color w:val="1E293B"/>
                <w:sz w:val="17"/>
              </w:rPr>
              <w:t>; auto-sunset after 2 missed quarters.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11. False Assurance on Public Ledger</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Corrupt officials enter falsified outcome numbers onto the blockchain.</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Multi-signature consensus requiring </w:t>
            </w:r>
            <w:r>
              <w:rPr>
                <w:rFonts w:ascii="Calibri" w:hAnsi="Calibri"/>
                <w:b/>
                <w:color w:val="1E293B"/>
                <w:sz w:val="17"/>
              </w:rPr>
              <w:t>Independent External Auditor, DFI, and accredited CSO validator nodes</w:t>
            </w:r>
            <w:r>
              <w:rPr>
                <w:rFonts w:ascii="Calibri" w:hAnsi="Calibri"/>
                <w:color w:val="1E293B"/>
                <w:sz w:val="17"/>
              </w:rPr>
              <w:t>; quarterly physical and field-sample verification.</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12. Hardware Obsolescence</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Purchased GPUs become outdated within 36 months as new chip architectures arrive.</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State finances 15–20 year power, land, and fibre; </w:t>
            </w:r>
            <w:r>
              <w:rPr>
                <w:rFonts w:ascii="Calibri" w:hAnsi="Calibri"/>
                <w:b/>
                <w:color w:val="1E293B"/>
                <w:sz w:val="17"/>
              </w:rPr>
              <w:t>operators lease GPUs on 3.5–4 year vendor refresh schedules</w:t>
            </w:r>
            <w:r>
              <w:rPr>
                <w:rFonts w:ascii="Calibri" w:hAnsi="Calibri"/>
                <w:color w:val="1E293B"/>
                <w:sz w:val="17"/>
              </w:rPr>
              <w:t>, transferring silicon obsolescence risk to private operators.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13. Tropical Cooling &amp; Water Stress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Evaporative cooling strains municipal water in Lagos/Ogun or fails in high humidity.</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 xml:space="preserve">Mandatory </w:t>
            </w:r>
            <w:r>
              <w:rPr>
                <w:rFonts w:ascii="Calibri" w:hAnsi="Calibri"/>
                <w:b/>
                <w:color w:val="1E293B"/>
                <w:sz w:val="17"/>
              </w:rPr>
              <w:t>closed-loop direct-to-chip liquid cooling</w:t>
            </w:r>
            <w:r>
              <w:rPr>
                <w:rFonts w:ascii="Calibri" w:hAnsi="Calibri"/>
                <w:color w:val="1E293B"/>
                <w:sz w:val="17"/>
              </w:rPr>
              <w:t xml:space="preserve"> paired with adiabatic dry coolers (PUE &lt;=1.28), cutting water use by &gt;85%.</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14. Citizen Data Privacy Breaches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Centralised hosting or ledger logging exposes personal farm, health, or tax records.</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Zero personal data on the Public Ledger; full </w:t>
            </w:r>
            <w:r>
              <w:rPr>
                <w:rFonts w:ascii="Calibri" w:hAnsi="Calibri"/>
                <w:b/>
                <w:color w:val="1E293B"/>
                <w:sz w:val="17"/>
              </w:rPr>
              <w:t>Nigeria Data Protection Act (NDPA)</w:t>
            </w:r>
            <w:r>
              <w:rPr>
                <w:rFonts w:ascii="Calibri" w:hAnsi="Calibri"/>
                <w:color w:val="1E293B"/>
                <w:sz w:val="17"/>
              </w:rPr>
              <w:t xml:space="preserve"> compliance; onshore HSM key custody; opt-in cooperative consent.</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15. Oracle Bounty Capture by Foreign Labs</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Well-funded foreign teams win all prize money without transferring capability to Nigeria.</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All benchmarks and winning weights remain open/African-licensed</w:t>
            </w:r>
            <w:r>
              <w:rPr>
                <w:rFonts w:ascii="Calibri" w:hAnsi="Calibri"/>
                <w:color w:val="1E293B"/>
                <w:sz w:val="17"/>
              </w:rPr>
              <w:t xml:space="preserve">; 70% </w:t>
            </w:r>
            <w:r>
              <w:rPr>
                <w:rFonts w:ascii="Calibri" w:hAnsi="Calibri"/>
                <w:i/>
                <w:color w:val="1E293B"/>
                <w:sz w:val="17"/>
              </w:rPr>
              <w:t>Field Validation Tranche</w:t>
            </w:r>
            <w:r>
              <w:rPr>
                <w:rFonts w:ascii="Calibri" w:hAnsi="Calibri"/>
                <w:color w:val="1E293B"/>
                <w:sz w:val="17"/>
              </w:rPr>
              <w:t xml:space="preserve"> requires a Nigerian university or domestic tech firm as lead implementing partner.</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16. Observatory Paralysis or Churn</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Priority allocations either never adapt to breakthroughs or churn chaotically every month.</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Re-allocations restricted to the disciplined quarterly cycle </w:t>
            </w:r>
            <w:r>
              <w:rPr>
                <w:rFonts w:ascii="Calibri" w:hAnsi="Calibri"/>
                <w:i/>
                <w:color w:val="1E293B"/>
                <w:sz w:val="17"/>
              </w:rPr>
              <w:t>unless</w:t>
            </w:r>
            <w:r>
              <w:rPr>
                <w:rFonts w:ascii="Calibri" w:hAnsi="Calibri"/>
                <w:color w:val="1E293B"/>
                <w:sz w:val="17"/>
              </w:rPr>
              <w:t xml:space="preserve"> one of the </w:t>
            </w:r>
            <w:r>
              <w:rPr>
                <w:rFonts w:ascii="Calibri" w:hAnsi="Calibri"/>
                <w:b/>
                <w:color w:val="1E293B"/>
                <w:sz w:val="17"/>
              </w:rPr>
              <w:t>Five Binding Triggers</w:t>
            </w:r>
            <w:r>
              <w:rPr>
                <w:rFonts w:ascii="Calibri" w:hAnsi="Calibri"/>
                <w:color w:val="1E293B"/>
                <w:sz w:val="17"/>
              </w:rPr>
              <w:t xml:space="preserve"> fires, which mandates a structured 30-day triage logged on the Ledger.</w:t>
            </w:r>
          </w:p>
        </w:tc>
      </w:tr>
    </w:tbl>
    <w:p>
      <w:pPr>
        <w:spacing w:before="0" w:after="120"/>
      </w:pPr>
    </w:p>
    <w:p>
      <w:pPr>
        <w:keepNext/>
        <w:spacing w:before="320" w:after="120"/>
        <w:pBdr>
          <w:bottom w:val="single" w:sz="12" w:space="4" w:color="B45309"/>
        </w:pBdr>
      </w:pPr>
      <w:r>
        <w:rPr>
          <w:rFonts w:ascii="Calibri" w:hAnsi="Calibri"/>
          <w:b/>
          <w:color w:val="0A3D1F"/>
          <w:sz w:val="29"/>
        </w:rPr>
        <w:t>17. Decisions requested (within six months)</w:t>
      </w:r>
    </w:p>
    <w:p>
      <w:pPr>
        <w:keepNext/>
        <w:spacing w:before="220" w:after="80"/>
      </w:pPr>
      <w:r>
        <w:rPr>
          <w:rFonts w:ascii="Calibri" w:hAnsi="Calibri"/>
          <w:b/>
          <w:color w:val="0A3D1F"/>
          <w:sz w:val="23"/>
        </w:rPr>
        <w:t>A. From the Presidency and the Federal Executive Council (FEC)</w:t>
      </w:r>
    </w:p>
    <w:p>
      <w:pPr>
        <w:spacing w:before="50" w:after="70"/>
        <w:ind w:left="360" w:hanging="360"/>
      </w:pPr>
      <w:r>
        <w:rPr>
          <w:rFonts w:ascii="Calibri" w:hAnsi="Calibri"/>
          <w:b/>
          <w:color w:val="0A3D1F"/>
          <w:sz w:val="20"/>
        </w:rPr>
        <w:t xml:space="preserve">1. </w:t>
      </w:r>
      <w:r>
        <w:rPr>
          <w:rFonts w:ascii="Calibri" w:hAnsi="Calibri"/>
          <w:b/>
          <w:color w:val="1E293B"/>
          <w:sz w:val="20"/>
        </w:rPr>
        <w:t>Declare AI Compute a Generational National Emergency</w:t>
      </w:r>
      <w:r>
        <w:rPr>
          <w:rFonts w:ascii="Calibri" w:hAnsi="Calibri"/>
          <w:color w:val="1E293B"/>
          <w:sz w:val="20"/>
        </w:rPr>
        <w:t xml:space="preserve"> and adopt this strategy as the sovereign infrastructure and capital-allocation execution plan of the National AI Strategy (2025–2029).</w:t>
      </w:r>
    </w:p>
    <w:p>
      <w:pPr>
        <w:spacing w:before="50" w:after="70"/>
        <w:ind w:left="360" w:hanging="360"/>
      </w:pPr>
      <w:r>
        <w:rPr>
          <w:rFonts w:ascii="Calibri" w:hAnsi="Calibri"/>
          <w:b/>
          <w:color w:val="0A3D1F"/>
          <w:sz w:val="20"/>
        </w:rPr>
        <w:t xml:space="preserve">2. </w:t>
      </w:r>
      <w:r>
        <w:rPr>
          <w:rFonts w:ascii="Calibri" w:hAnsi="Calibri"/>
          <w:b/>
          <w:color w:val="1E293B"/>
          <w:sz w:val="20"/>
        </w:rPr>
        <w:t>Issue an Executive Order establishing the National AI Infrastructure Task Force as a Presidential Delivery Council</w:t>
      </w:r>
      <w:r>
        <w:rPr>
          <w:rFonts w:ascii="Calibri" w:hAnsi="Calibri"/>
          <w:color w:val="1E293B"/>
          <w:sz w:val="20"/>
        </w:rPr>
        <w:t xml:space="preserve"> (co-chaired by the Presidency and the Honourable Minister of Communications, Innovation and Digital Economy), designating </w:t>
      </w:r>
      <w:r>
        <w:rPr>
          <w:rFonts w:ascii="Calibri" w:hAnsi="Calibri"/>
          <w:b/>
          <w:color w:val="1E293B"/>
          <w:sz w:val="20"/>
        </w:rPr>
        <w:t>NITDA, NCAIR, NSIA, ICRC, and the National AI Trust</w:t>
      </w:r>
      <w:r>
        <w:rPr>
          <w:rFonts w:ascii="Calibri" w:hAnsi="Calibri"/>
          <w:color w:val="1E293B"/>
          <w:sz w:val="20"/>
        </w:rPr>
        <w:t xml:space="preserve"> as its statutory execution secretariat, with a hard sunset on 31 December 2031.</w:t>
      </w:r>
    </w:p>
    <w:p>
      <w:pPr>
        <w:spacing w:before="50" w:after="70"/>
        <w:ind w:left="360" w:hanging="360"/>
      </w:pPr>
      <w:r>
        <w:rPr>
          <w:rFonts w:ascii="Calibri" w:hAnsi="Calibri"/>
          <w:b/>
          <w:color w:val="0A3D1F"/>
          <w:sz w:val="20"/>
        </w:rPr>
        <w:t xml:space="preserve">3. </w:t>
      </w:r>
      <w:r>
        <w:rPr>
          <w:rFonts w:ascii="Calibri" w:hAnsi="Calibri"/>
          <w:b/>
          <w:color w:val="1E293B"/>
          <w:sz w:val="20"/>
        </w:rPr>
        <w:t>Mandate the Tamper-Evident Public Ledger from Day One</w:t>
      </w:r>
      <w:r>
        <w:rPr>
          <w:rFonts w:ascii="Calibri" w:hAnsi="Calibri"/>
          <w:color w:val="1E293B"/>
          <w:sz w:val="20"/>
        </w:rPr>
        <w:t xml:space="preserve"> under the National Blockchain Policy, requiring all Task Force tax inflows, PPP contracts, live GPU uptime, compute voucher allocations, and Stage-1/Stage-2 project scores to be published openly with Auditor-General, DFI, and CSO validator nodes.</w:t>
      </w:r>
    </w:p>
    <w:p>
      <w:pPr>
        <w:spacing w:before="50" w:after="70"/>
        <w:ind w:left="360" w:hanging="360"/>
      </w:pPr>
      <w:r>
        <w:rPr>
          <w:rFonts w:ascii="Calibri" w:hAnsi="Calibri"/>
          <w:b/>
          <w:color w:val="0A3D1F"/>
          <w:sz w:val="20"/>
        </w:rPr>
        <w:t xml:space="preserve">4. </w:t>
      </w:r>
      <w:r>
        <w:rPr>
          <w:rFonts w:ascii="Calibri" w:hAnsi="Calibri"/>
          <w:b/>
          <w:color w:val="1E293B"/>
          <w:sz w:val="20"/>
        </w:rPr>
        <w:t>Transmit the 3-Tier AI Infrastructure Tax Bill and 2027 Fiscal Policy Measures</w:t>
      </w:r>
      <w:r>
        <w:rPr>
          <w:rFonts w:ascii="Calibri" w:hAnsi="Calibri"/>
          <w:color w:val="1E293B"/>
          <w:sz w:val="20"/>
        </w:rPr>
        <w:t>, incorporating (a) the 0.5-point Development Levy earmark, (b) the readiness-gated Offshore Compute Levy (0.5% -&gt; 2.5% -&gt; 5.0% with an NGN 2.5 billion SME exemption and 100% onshore credit), and (c) 0% customs duty on AI chips/servers alongside the stepping-down Import Adjustment Tax on certified local ancillary goods.</w:t>
      </w:r>
    </w:p>
    <w:p>
      <w:pPr>
        <w:spacing w:before="50" w:after="70"/>
        <w:ind w:left="360" w:hanging="360"/>
      </w:pPr>
      <w:r>
        <w:rPr>
          <w:rFonts w:ascii="Calibri" w:hAnsi="Calibri"/>
          <w:b/>
          <w:color w:val="0A3D1F"/>
          <w:sz w:val="20"/>
        </w:rPr>
        <w:t xml:space="preserve">5. </w:t>
      </w:r>
      <w:r>
        <w:rPr>
          <w:rFonts w:ascii="Calibri" w:hAnsi="Calibri"/>
          <w:b/>
          <w:color w:val="1E293B"/>
          <w:sz w:val="20"/>
        </w:rPr>
        <w:t>Direct ICRC to Fast-Track Energy-Compute Zones 1 and 2 and Trapped-Power `DSX POD` Concessions</w:t>
      </w:r>
      <w:r>
        <w:rPr>
          <w:rFonts w:ascii="Calibri" w:hAnsi="Calibri"/>
          <w:color w:val="1E293B"/>
          <w:sz w:val="20"/>
        </w:rPr>
        <w:t xml:space="preserve"> using the June 2026 Model PPP Agreement, and direct the Ministries of Petroleum Resources (NUPRC) and Power (NERC) to issue firm 15–20 year gas-supply and behind-the-meter trapped-power generation licenses (allowing modular containerised </w:t>
      </w:r>
      <w:r>
        <w:rPr>
          <w:rFonts w:ascii="Consolas" w:hAnsi="Consolas"/>
          <w:b/>
          <w:color w:val="0A3D1F"/>
          <w:sz w:val="19"/>
        </w:rPr>
        <w:t>NVIDIA DSX POD</w:t>
      </w:r>
      <w:r>
        <w:rPr>
          <w:rFonts w:ascii="Calibri" w:hAnsi="Calibri"/>
          <w:color w:val="1E293B"/>
          <w:sz w:val="20"/>
        </w:rPr>
        <w:t xml:space="preserve"> AI factories to co-locate directly at stranded thermal GenCos, flared-gas manifolds, and hydro dams starting in 2027) within 90 days.</w:t>
      </w:r>
    </w:p>
    <w:p>
      <w:pPr>
        <w:spacing w:before="50" w:after="70"/>
        <w:ind w:left="360" w:hanging="360"/>
      </w:pPr>
      <w:r>
        <w:rPr>
          <w:rFonts w:ascii="Calibri" w:hAnsi="Calibri"/>
          <w:b/>
          <w:color w:val="0A3D1F"/>
          <w:sz w:val="20"/>
        </w:rPr>
        <w:t xml:space="preserve">6. </w:t>
      </w:r>
      <w:r>
        <w:rPr>
          <w:rFonts w:ascii="Calibri" w:hAnsi="Calibri"/>
          <w:b/>
          <w:color w:val="1E293B"/>
          <w:sz w:val="20"/>
        </w:rPr>
        <w:t>Approve the Entity-Level Multi-Alignment and Export-Control Ring-Fencing Charter</w:t>
      </w:r>
      <w:r>
        <w:rPr>
          <w:rFonts w:ascii="Calibri" w:hAnsi="Calibri"/>
          <w:color w:val="1E293B"/>
          <w:sz w:val="20"/>
        </w:rPr>
        <w:t>, mandating legally, corporately, and physically separate SPVs (SPV-A vs. SPV-B) and open-standard model-agnostic API gateways for all public services.</w:t>
      </w:r>
    </w:p>
    <w:p>
      <w:pPr>
        <w:spacing w:before="50" w:after="70"/>
        <w:ind w:left="360" w:hanging="360"/>
      </w:pPr>
      <w:r>
        <w:rPr>
          <w:rFonts w:ascii="Calibri" w:hAnsi="Calibri"/>
          <w:b/>
          <w:color w:val="0A3D1F"/>
          <w:sz w:val="20"/>
        </w:rPr>
        <w:t xml:space="preserve">7. </w:t>
      </w:r>
      <w:r>
        <w:rPr>
          <w:rFonts w:ascii="Calibri" w:hAnsi="Calibri"/>
          <w:b/>
          <w:color w:val="1E293B"/>
          <w:sz w:val="20"/>
        </w:rPr>
        <w:t>Adopt the 2031 Minimum Sovereign Compute Floor (32,000 GPUs / 45 MW) and Strategic Target (120,000 GPUs / 170 MW)</w:t>
      </w:r>
      <w:r>
        <w:rPr>
          <w:rFonts w:ascii="Calibri" w:hAnsi="Calibri"/>
          <w:color w:val="1E293B"/>
          <w:sz w:val="20"/>
        </w:rPr>
        <w:t>, and mandate monthly publication of available AI compute per 1,000 residents by state on the Public Ledger.</w:t>
      </w:r>
    </w:p>
    <w:p>
      <w:pPr>
        <w:spacing w:before="50" w:after="70"/>
        <w:ind w:left="360" w:hanging="360"/>
      </w:pPr>
      <w:r>
        <w:rPr>
          <w:rFonts w:ascii="Calibri" w:hAnsi="Calibri"/>
          <w:b/>
          <w:color w:val="0A3D1F"/>
          <w:sz w:val="20"/>
        </w:rPr>
        <w:t xml:space="preserve">8. </w:t>
      </w:r>
      <w:r>
        <w:rPr>
          <w:rFonts w:ascii="Calibri" w:hAnsi="Calibri"/>
          <w:b/>
          <w:color w:val="1E293B"/>
          <w:sz w:val="20"/>
        </w:rPr>
        <w:t>Designate Energy-Compute Zones as Critical National Infrastructure (CNI)</w:t>
      </w:r>
      <w:r>
        <w:rPr>
          <w:rFonts w:ascii="Calibri" w:hAnsi="Calibri"/>
          <w:color w:val="1E293B"/>
          <w:sz w:val="20"/>
        </w:rPr>
        <w:t xml:space="preserve"> under ONSA, authorise the air-gapped defence compute enclave, and establish the </w:t>
      </w:r>
      <w:r>
        <w:rPr>
          <w:rFonts w:ascii="Calibri" w:hAnsi="Calibri"/>
          <w:b/>
          <w:color w:val="1E293B"/>
          <w:sz w:val="20"/>
        </w:rPr>
        <w:t>National AI Security and Evaluation Unit</w:t>
      </w:r>
      <w:r>
        <w:rPr>
          <w:rFonts w:ascii="Calibri" w:hAnsi="Calibri"/>
          <w:color w:val="1E293B"/>
          <w:sz w:val="20"/>
        </w:rPr>
        <w:t xml:space="preserve"> within NCAIR.</w:t>
      </w:r>
    </w:p>
    <w:p>
      <w:pPr>
        <w:spacing w:before="50" w:after="70"/>
        <w:ind w:left="360" w:hanging="360"/>
      </w:pPr>
      <w:r>
        <w:rPr>
          <w:rFonts w:ascii="Calibri" w:hAnsi="Calibri"/>
          <w:b/>
          <w:color w:val="0A3D1F"/>
          <w:sz w:val="20"/>
        </w:rPr>
        <w:t xml:space="preserve">9. </w:t>
      </w:r>
      <w:r>
        <w:rPr>
          <w:rFonts w:ascii="Calibri" w:hAnsi="Calibri"/>
          <w:b/>
          <w:color w:val="1E293B"/>
          <w:sz w:val="20"/>
        </w:rPr>
        <w:t>Issue the Onshore-First Public Procurement Directive and Naira Compute Voucher Scheme</w:t>
      </w:r>
      <w:r>
        <w:rPr>
          <w:rFonts w:ascii="Calibri" w:hAnsi="Calibri"/>
          <w:color w:val="1E293B"/>
          <w:sz w:val="20"/>
        </w:rPr>
        <w:t xml:space="preserve"> through NITDA's NGN 10 million+ clearance framework, and authorise the 6-month </w:t>
      </w:r>
      <w:r>
        <w:rPr>
          <w:rFonts w:ascii="Calibri" w:hAnsi="Calibri"/>
          <w:b/>
          <w:color w:val="1E293B"/>
          <w:sz w:val="20"/>
        </w:rPr>
        <w:t>Annex A (Cocoa/EUDR)</w:t>
      </w:r>
      <w:r>
        <w:rPr>
          <w:rFonts w:ascii="Calibri" w:hAnsi="Calibri"/>
          <w:color w:val="1E293B"/>
          <w:sz w:val="20"/>
        </w:rPr>
        <w:t xml:space="preserve"> and </w:t>
      </w:r>
      <w:r>
        <w:rPr>
          <w:rFonts w:ascii="Calibri" w:hAnsi="Calibri"/>
          <w:b/>
          <w:color w:val="1E293B"/>
          <w:sz w:val="20"/>
        </w:rPr>
        <w:t>Annex B (AfCFTA eBDSP Trade Flows)</w:t>
      </w:r>
      <w:r>
        <w:rPr>
          <w:rFonts w:ascii="Calibri" w:hAnsi="Calibri"/>
          <w:color w:val="1E293B"/>
          <w:sz w:val="20"/>
        </w:rPr>
        <w:t xml:space="preserve"> proof-of-concept pilots.</w:t>
      </w:r>
    </w:p>
    <w:p>
      <w:pPr>
        <w:spacing w:before="50" w:after="70"/>
        <w:ind w:left="360" w:hanging="360"/>
      </w:pPr>
      <w:r>
        <w:rPr>
          <w:rFonts w:ascii="Calibri" w:hAnsi="Calibri"/>
          <w:b/>
          <w:color w:val="0A3D1F"/>
          <w:sz w:val="20"/>
        </w:rPr>
        <w:t xml:space="preserve">10. </w:t>
      </w:r>
      <w:r>
        <w:rPr>
          <w:rFonts w:ascii="Calibri" w:hAnsi="Calibri"/>
          <w:b/>
          <w:color w:val="1E293B"/>
          <w:sz w:val="20"/>
        </w:rPr>
        <w:t>Capitalise the National Oracle Bounty Programme and Global AI Observatory</w:t>
      </w:r>
      <w:r>
        <w:rPr>
          <w:rFonts w:ascii="Calibri" w:hAnsi="Calibri"/>
          <w:color w:val="1E293B"/>
          <w:sz w:val="20"/>
        </w:rPr>
        <w:t xml:space="preserve"> within NCAIR and the National AI Trust, adopting the Five Binding 30-Day Re-Triage Triggers and the ACHPR Resolution 473 / Ubuntu ethics charter.</w:t>
      </w:r>
    </w:p>
    <w:p>
      <w:pPr>
        <w:keepNext/>
        <w:spacing w:before="220" w:after="80"/>
      </w:pPr>
      <w:r>
        <w:rPr>
          <w:rFonts w:ascii="Calibri" w:hAnsi="Calibri"/>
          <w:b/>
          <w:color w:val="0A3D1F"/>
          <w:sz w:val="23"/>
        </w:rPr>
        <w:t>B. From the African Union, ECOWAS, and Regional Bodies</w:t>
      </w:r>
    </w:p>
    <w:p>
      <w:pPr>
        <w:spacing w:before="50" w:after="70"/>
        <w:ind w:left="360" w:hanging="360"/>
      </w:pPr>
      <w:r>
        <w:rPr>
          <w:rFonts w:ascii="Calibri" w:hAnsi="Calibri"/>
          <w:b/>
          <w:color w:val="0A3D1F"/>
          <w:sz w:val="20"/>
        </w:rPr>
        <w:t xml:space="preserve">1. </w:t>
      </w:r>
      <w:r>
        <w:rPr>
          <w:rFonts w:ascii="Calibri" w:hAnsi="Calibri"/>
          <w:b/>
          <w:color w:val="1E293B"/>
          <w:sz w:val="20"/>
        </w:rPr>
        <w:t>Designate Nigeria's Energy-Compute Zones as the West African Anchor</w:t>
      </w:r>
      <w:r>
        <w:rPr>
          <w:rFonts w:ascii="Calibri" w:hAnsi="Calibri"/>
          <w:color w:val="1E293B"/>
          <w:sz w:val="20"/>
        </w:rPr>
        <w:t xml:space="preserve"> of a federated African Compute Pool, interconnected with regional peer hubs in South Africa, Kenya, Egypt, and Morocco via </w:t>
      </w:r>
      <w:r>
        <w:rPr>
          <w:rFonts w:ascii="Calibri" w:hAnsi="Calibri"/>
          <w:b/>
          <w:color w:val="1E293B"/>
          <w:sz w:val="20"/>
        </w:rPr>
        <w:t>Cassava Technologies' Pan-African AI Factory</w:t>
      </w:r>
      <w:r>
        <w:rPr>
          <w:rFonts w:ascii="Calibri" w:hAnsi="Calibri"/>
          <w:color w:val="1E293B"/>
          <w:sz w:val="20"/>
        </w:rPr>
        <w:t xml:space="preserve"> and submarine fibre.</w:t>
      </w:r>
    </w:p>
    <w:p>
      <w:pPr>
        <w:spacing w:before="50" w:after="70"/>
        <w:ind w:left="360" w:hanging="360"/>
      </w:pPr>
      <w:r>
        <w:rPr>
          <w:rFonts w:ascii="Calibri" w:hAnsi="Calibri"/>
          <w:b/>
          <w:color w:val="0A3D1F"/>
          <w:sz w:val="20"/>
        </w:rPr>
        <w:t xml:space="preserve">2. </w:t>
      </w:r>
      <w:r>
        <w:rPr>
          <w:rFonts w:ascii="Calibri" w:hAnsi="Calibri"/>
          <w:b/>
          <w:color w:val="1E293B"/>
          <w:sz w:val="20"/>
        </w:rPr>
        <w:t>Mandate a Single African Bloc Negotiating Position</w:t>
      </w:r>
      <w:r>
        <w:rPr>
          <w:rFonts w:ascii="Calibri" w:hAnsi="Calibri"/>
          <w:color w:val="1E293B"/>
          <w:sz w:val="20"/>
        </w:rPr>
        <w:t xml:space="preserve"> on GPU supply allocations, export-control safe-harbour assurances, and model licensing, with cross-border wholesale compute settled in local currencies via </w:t>
      </w:r>
      <w:r>
        <w:rPr>
          <w:rFonts w:ascii="Calibri" w:hAnsi="Calibri"/>
          <w:b/>
          <w:color w:val="1E293B"/>
          <w:sz w:val="20"/>
        </w:rPr>
        <w:t>PAPSS</w:t>
      </w:r>
      <w:r>
        <w:rPr>
          <w:rFonts w:ascii="Calibri" w:hAnsi="Calibri"/>
          <w:color w:val="1E293B"/>
          <w:sz w:val="20"/>
        </w:rPr>
        <w:t>.</w:t>
      </w:r>
    </w:p>
    <w:p>
      <w:pPr>
        <w:spacing w:before="50" w:after="70"/>
        <w:ind w:left="360" w:hanging="360"/>
      </w:pPr>
      <w:r>
        <w:rPr>
          <w:rFonts w:ascii="Calibri" w:hAnsi="Calibri"/>
          <w:b/>
          <w:color w:val="0A3D1F"/>
          <w:sz w:val="20"/>
        </w:rPr>
        <w:t xml:space="preserve">3. </w:t>
      </w:r>
      <w:r>
        <w:rPr>
          <w:rFonts w:ascii="Calibri" w:hAnsi="Calibri"/>
          <w:b/>
          <w:color w:val="1E293B"/>
          <w:sz w:val="20"/>
        </w:rPr>
        <w:t>Adopt the Public Ledger Transparency Standard and ACHPR Resolution 473</w:t>
      </w:r>
      <w:r>
        <w:rPr>
          <w:rFonts w:ascii="Calibri" w:hAnsi="Calibri"/>
          <w:color w:val="1E293B"/>
          <w:sz w:val="20"/>
        </w:rPr>
        <w:t xml:space="preserve"> across all pooled regional AI infrastructure.</w:t>
      </w:r>
    </w:p>
    <w:p>
      <w:pPr>
        <w:spacing w:before="50" w:after="70"/>
        <w:ind w:left="360" w:hanging="360"/>
      </w:pPr>
      <w:r>
        <w:rPr>
          <w:rFonts w:ascii="Calibri" w:hAnsi="Calibri"/>
          <w:b/>
          <w:color w:val="0A3D1F"/>
          <w:sz w:val="20"/>
        </w:rPr>
        <w:t xml:space="preserve">4. </w:t>
      </w:r>
      <w:r>
        <w:rPr>
          <w:rFonts w:ascii="Calibri" w:hAnsi="Calibri"/>
          <w:b/>
          <w:color w:val="1E293B"/>
          <w:sz w:val="20"/>
        </w:rPr>
        <w:t>Co-Fund the Shared African Language Tokenizer and Oracle Commons</w:t>
      </w:r>
      <w:r>
        <w:rPr>
          <w:rFonts w:ascii="Calibri" w:hAnsi="Calibri"/>
          <w:color w:val="1E293B"/>
          <w:sz w:val="20"/>
        </w:rPr>
        <w:t xml:space="preserve"> so tokenizers and benchmarks built in Nigeria serve ECOWAS and AU member states royalty-free.</w:t>
      </w:r>
    </w:p>
    <w:p>
      <w:pPr>
        <w:keepNext/>
        <w:spacing w:before="220" w:after="80"/>
      </w:pPr>
      <w:r>
        <w:rPr>
          <w:rFonts w:ascii="Calibri" w:hAnsi="Calibri"/>
          <w:b/>
          <w:color w:val="0A3D1F"/>
          <w:sz w:val="23"/>
        </w:rPr>
        <w:t>C. From Private Operators, Investors, and Development Finance Institutions (DFIs)</w:t>
      </w:r>
    </w:p>
    <w:p>
      <w:pPr>
        <w:spacing w:before="50" w:after="70"/>
        <w:ind w:left="360" w:hanging="360"/>
      </w:pPr>
      <w:r>
        <w:rPr>
          <w:rFonts w:ascii="Calibri" w:hAnsi="Calibri"/>
          <w:b/>
          <w:color w:val="0A3D1F"/>
          <w:sz w:val="20"/>
        </w:rPr>
        <w:t xml:space="preserve">1. </w:t>
      </w:r>
      <w:r>
        <w:rPr>
          <w:rFonts w:ascii="Calibri" w:hAnsi="Calibri"/>
          <w:b/>
          <w:color w:val="1E293B"/>
          <w:sz w:val="20"/>
        </w:rPr>
        <w:t>Co-Finance Energy-Compute Zones 1 and 2 ($1.80B Floor to $5.60B Target Capital Stack)</w:t>
      </w:r>
      <w:r>
        <w:rPr>
          <w:rFonts w:ascii="Calibri" w:hAnsi="Calibri"/>
          <w:color w:val="1E293B"/>
          <w:sz w:val="20"/>
        </w:rPr>
        <w:t xml:space="preserve">—bringing together </w:t>
      </w:r>
      <w:r>
        <w:rPr>
          <w:rFonts w:ascii="Calibri" w:hAnsi="Calibri"/>
          <w:b/>
          <w:color w:val="1E293B"/>
          <w:sz w:val="20"/>
        </w:rPr>
        <w:t>NSIA, Kasi Cloud, Cassava–NVIDIA, MTN Genova, Airtel Nxtra, Rack Centre, OADC, MainOne/Equinix, and Tetracore</w:t>
      </w:r>
      <w:r>
        <w:rPr>
          <w:rFonts w:ascii="Calibri" w:hAnsi="Calibri"/>
          <w:color w:val="1E293B"/>
          <w:sz w:val="20"/>
        </w:rPr>
        <w:t xml:space="preserve"> alongside AfDB, IFC, US DFC, BII, and the </w:t>
      </w:r>
      <w:r>
        <w:rPr>
          <w:rFonts w:ascii="Calibri" w:hAnsi="Calibri"/>
          <w:b/>
          <w:color w:val="1E293B"/>
          <w:sz w:val="20"/>
        </w:rPr>
        <w:t>$60 billion Africa AI Fund</w:t>
      </w:r>
      <w:r>
        <w:rPr>
          <w:rFonts w:ascii="Calibri" w:hAnsi="Calibri"/>
          <w:color w:val="1E293B"/>
          <w:sz w:val="20"/>
        </w:rPr>
        <w:t>.</w:t>
      </w:r>
    </w:p>
    <w:p>
      <w:pPr>
        <w:spacing w:before="50" w:after="70"/>
        <w:ind w:left="360" w:hanging="360"/>
      </w:pPr>
      <w:r>
        <w:rPr>
          <w:rFonts w:ascii="Calibri" w:hAnsi="Calibri"/>
          <w:b/>
          <w:color w:val="0A3D1F"/>
          <w:sz w:val="20"/>
        </w:rPr>
        <w:t xml:space="preserve">2. </w:t>
      </w:r>
      <w:r>
        <w:rPr>
          <w:rFonts w:ascii="Calibri" w:hAnsi="Calibri"/>
          <w:b/>
          <w:color w:val="1E293B"/>
          <w:sz w:val="20"/>
        </w:rPr>
        <w:t>Underwrite the $80M–$130M USD/NGN FX Liquidity Reserve Account</w:t>
      </w:r>
      <w:r>
        <w:rPr>
          <w:rFonts w:ascii="Calibri" w:hAnsi="Calibri"/>
          <w:color w:val="1E293B"/>
          <w:sz w:val="20"/>
        </w:rPr>
        <w:t xml:space="preserve"> and partial credit guarantees so public agencies and SMEs can purchase compute in Naira while operators service dollar GPU leases cleanly.</w:t>
      </w:r>
    </w:p>
    <w:p>
      <w:pPr>
        <w:spacing w:before="50" w:after="70"/>
        <w:ind w:left="360" w:hanging="360"/>
      </w:pPr>
      <w:r>
        <w:rPr>
          <w:rFonts w:ascii="Calibri" w:hAnsi="Calibri"/>
          <w:b/>
          <w:color w:val="0A3D1F"/>
          <w:sz w:val="20"/>
        </w:rPr>
        <w:t xml:space="preserve">3. </w:t>
      </w:r>
      <w:r>
        <w:rPr>
          <w:rFonts w:ascii="Calibri" w:hAnsi="Calibri"/>
          <w:b/>
          <w:color w:val="1E293B"/>
          <w:sz w:val="20"/>
        </w:rPr>
        <w:t>Take Validator Seats on the Public Ledger</w:t>
      </w:r>
      <w:r>
        <w:rPr>
          <w:rFonts w:ascii="Calibri" w:hAnsi="Calibri"/>
          <w:color w:val="1E293B"/>
          <w:sz w:val="20"/>
        </w:rPr>
        <w:t>, giving project lenders real-time cryptographic visibility into megawatts, uptime SLAs, and availability-payment cashflows.</w:t>
      </w:r>
    </w:p>
    <w:p>
      <w:pPr>
        <w:spacing w:before="50" w:after="70"/>
        <w:ind w:left="360" w:hanging="360"/>
      </w:pPr>
      <w:r>
        <w:rPr>
          <w:rFonts w:ascii="Calibri" w:hAnsi="Calibri"/>
          <w:b/>
          <w:color w:val="0A3D1F"/>
          <w:sz w:val="20"/>
        </w:rPr>
        <w:t xml:space="preserve">4. </w:t>
      </w:r>
      <w:r>
        <w:rPr>
          <w:rFonts w:ascii="Calibri" w:hAnsi="Calibri"/>
          <w:b/>
          <w:color w:val="1E293B"/>
          <w:sz w:val="20"/>
        </w:rPr>
        <w:t>Partner on the 2027 `NVIDIA DSX POD` Trapped-Power Rollout, `Nemotron` / `CAIMEx` Open-Weight Deployment, and 3.5–4 Year GPU Lease/Refresh Pool</w:t>
      </w:r>
      <w:r>
        <w:rPr>
          <w:rFonts w:ascii="Calibri" w:hAnsi="Calibri"/>
          <w:color w:val="1E293B"/>
          <w:sz w:val="20"/>
        </w:rPr>
        <w:t>—bringing DSX ecosystem builders (</w:t>
      </w:r>
      <w:r>
        <w:rPr>
          <w:rFonts w:ascii="Calibri" w:hAnsi="Calibri"/>
          <w:b/>
          <w:color w:val="1E293B"/>
          <w:sz w:val="20"/>
        </w:rPr>
        <w:t>Crusoe, Armada, Vertiv, Schneider Electric, Eaton, Dell, HPE, Lenovo</w:t>
      </w:r>
      <w:r>
        <w:rPr>
          <w:rFonts w:ascii="Calibri" w:hAnsi="Calibri"/>
          <w:color w:val="1E293B"/>
          <w:sz w:val="20"/>
        </w:rPr>
        <w:t xml:space="preserve">) and </w:t>
      </w:r>
      <w:r>
        <w:rPr>
          <w:rFonts w:ascii="Calibri" w:hAnsi="Calibri"/>
          <w:b/>
          <w:color w:val="1E293B"/>
          <w:sz w:val="20"/>
        </w:rPr>
        <w:t>Cassava AI (`CAIMEx`)</w:t>
      </w:r>
      <w:r>
        <w:rPr>
          <w:rFonts w:ascii="Calibri" w:hAnsi="Calibri"/>
          <w:color w:val="1E293B"/>
          <w:sz w:val="20"/>
        </w:rPr>
        <w:t xml:space="preserve"> together with Nigerian IPPs and universities to transfer liquid-cooling, modular pod commissioning, and open-weight agent engineering skills to Nigerian teams.</w:t>
      </w:r>
    </w:p>
    <w:p>
      <w:pPr>
        <w:keepNext/>
        <w:spacing w:before="320" w:after="120"/>
        <w:pBdr>
          <w:bottom w:val="single" w:sz="12" w:space="4" w:color="B45309"/>
        </w:pBdr>
      </w:pPr>
      <w:r>
        <w:rPr>
          <w:rFonts w:ascii="Calibri" w:hAnsi="Calibri"/>
          <w:b/>
          <w:color w:val="0A3D1F"/>
          <w:sz w:val="29"/>
        </w:rPr>
        <w:t>Annex A: Proof-of-Concept Pilot 1 — Sovereign Ag-Traceability and AI Cocoa Advisory (EUDR Compliance)</w:t>
      </w:r>
    </w:p>
    <w:p>
      <w:pPr>
        <w:spacing w:before="60" w:after="120" w:line="276" w:lineRule="auto"/>
      </w:pPr>
      <w:r>
        <w:rPr>
          <w:rFonts w:ascii="Calibri" w:hAnsi="Calibri"/>
          <w:color w:val="1E293B"/>
          <w:sz w:val="21"/>
        </w:rPr>
        <w:t xml:space="preserve">A six-month proof-of-concept pilot in South-West Nigeria (Ondo and Osun States) validates the </w:t>
      </w:r>
      <w:r>
        <w:rPr>
          <w:rFonts w:ascii="Calibri" w:hAnsi="Calibri"/>
          <w:b/>
          <w:color w:val="1E293B"/>
          <w:sz w:val="21"/>
        </w:rPr>
        <w:t>Benevolent Tokenomics</w:t>
      </w:r>
      <w:r>
        <w:rPr>
          <w:rFonts w:ascii="Calibri" w:hAnsi="Calibri"/>
          <w:color w:val="1E293B"/>
          <w:sz w:val="21"/>
        </w:rPr>
        <w:t xml:space="preserve"> allocation methodology and </w:t>
      </w:r>
      <w:r>
        <w:rPr>
          <w:rFonts w:ascii="Calibri" w:hAnsi="Calibri"/>
          <w:b/>
          <w:color w:val="1E293B"/>
          <w:sz w:val="21"/>
        </w:rPr>
        <w:t>Two-Stage Anti-Gaming Gate</w:t>
      </w:r>
      <w:r>
        <w:rPr>
          <w:rFonts w:ascii="Calibri" w:hAnsi="Calibri"/>
          <w:color w:val="1E293B"/>
          <w:sz w:val="21"/>
        </w:rPr>
        <w:t xml:space="preserve"> before large-scale capital commitments are drawn. Full policy-brief design: </w:t>
      </w:r>
      <w:hyperlink r:id="rId74">
        <w:r>
          <w:rPr>
            <w:rFonts w:ascii="Calibri" w:hAnsi="Calibri"/>
            <w:color w:val="B45309"/>
            <w:u w:val="single"/>
            <w:sz w:val="21"/>
          </w:rPr>
          <w:t>Benevolent Tokenomics Policy Brief</w:t>
        </w:r>
      </w:hyperlink>
      <w:r>
        <w:rPr>
          <w:rFonts w:ascii="Calibri" w:hAnsi="Calibri"/>
          <w:color w:val="1E293B"/>
          <w:sz w:val="21"/>
        </w:rPr>
        <w:t>.</w:t>
      </w:r>
    </w:p>
    <w:p>
      <w:pPr>
        <w:keepNext/>
        <w:spacing w:before="220" w:after="80"/>
      </w:pPr>
      <w:r>
        <w:rPr>
          <w:rFonts w:ascii="Calibri" w:hAnsi="Calibri"/>
          <w:b/>
          <w:color w:val="0A3D1F"/>
          <w:sz w:val="23"/>
        </w:rPr>
        <w:t>A.1 Institutional and satellite foundation already in place (Not starting from zero)</w:t>
      </w:r>
    </w:p>
    <w:p>
      <w:pPr>
        <w:spacing w:before="60" w:after="120" w:line="276" w:lineRule="auto"/>
      </w:pPr>
      <w:r>
        <w:rPr>
          <w:rFonts w:ascii="Calibri" w:hAnsi="Calibri"/>
          <w:color w:val="1E293B"/>
          <w:sz w:val="21"/>
        </w:rPr>
        <w:t>Unlike standalone chatbot pilots that fail for lack of institutional grounding, Pilot 1 builds directly on sovereign traceability infrastructure already initiated and signed at the federal level:</w:t>
      </w:r>
    </w:p>
    <w:p>
      <w:pPr>
        <w:pStyle w:val="ListBullet"/>
        <w:spacing w:before="40" w:after="60"/>
      </w:pPr>
      <w:r>
        <w:rPr>
          <w:rFonts w:ascii="Calibri" w:hAnsi="Calibri"/>
          <w:b/>
          <w:color w:val="1E293B"/>
          <w:sz w:val="20"/>
        </w:rPr>
        <w:t>The National EUDR Strategy White Paper (September 2025):</w:t>
      </w:r>
      <w:r>
        <w:rPr>
          <w:rFonts w:ascii="Calibri" w:hAnsi="Calibri"/>
          <w:color w:val="1E293B"/>
          <w:sz w:val="20"/>
        </w:rPr>
        <w:t xml:space="preserve"> Initiated and coordinated by the Technical Working Group of Nigeria's National Task Force on EUDR (</w:t>
      </w:r>
      <w:r>
        <w:rPr>
          <w:rFonts w:ascii="Calibri" w:hAnsi="Calibri"/>
          <w:i/>
          <w:color w:val="1E293B"/>
          <w:sz w:val="20"/>
        </w:rPr>
        <w:t>Nigeria's National Strategy for EUDR Compliance: Turning a Regulatory Compliance Threat into an Agricultural Transformation Opportunity</w:t>
      </w:r>
      <w:r>
        <w:rPr>
          <w:rFonts w:ascii="Calibri" w:hAnsi="Calibri"/>
          <w:color w:val="1E293B"/>
          <w:sz w:val="20"/>
        </w:rPr>
        <w:t>, Version 1.1, September 2025).</w:t>
      </w:r>
    </w:p>
    <w:p>
      <w:pPr>
        <w:pStyle w:val="ListBullet"/>
        <w:spacing w:before="40" w:after="60"/>
      </w:pPr>
      <w:r>
        <w:rPr>
          <w:rFonts w:ascii="Calibri" w:hAnsi="Calibri"/>
          <w:b/>
          <w:color w:val="1E293B"/>
          <w:sz w:val="20"/>
        </w:rPr>
        <w:t>The FMAFS–NASRDA National Traceability Infrastructure MoU (Signed 26 November 2025):</w:t>
      </w:r>
      <w:r>
        <w:rPr>
          <w:rFonts w:ascii="Calibri" w:hAnsi="Calibri"/>
          <w:color w:val="1E293B"/>
          <w:sz w:val="20"/>
        </w:rPr>
        <w:t xml:space="preserve"> Signed in Abuja between the </w:t>
      </w:r>
      <w:r>
        <w:rPr>
          <w:rFonts w:ascii="Calibri" w:hAnsi="Calibri"/>
          <w:b/>
          <w:color w:val="1E293B"/>
          <w:sz w:val="20"/>
        </w:rPr>
        <w:t>Federal Ministry of Agriculture and Food Security (FMAFS)</w:t>
      </w:r>
      <w:r>
        <w:rPr>
          <w:rFonts w:ascii="Calibri" w:hAnsi="Calibri"/>
          <w:color w:val="1E293B"/>
          <w:sz w:val="20"/>
        </w:rPr>
        <w:t xml:space="preserve"> and the </w:t>
      </w:r>
      <w:r>
        <w:rPr>
          <w:rFonts w:ascii="Calibri" w:hAnsi="Calibri"/>
          <w:b/>
          <w:color w:val="1E293B"/>
          <w:sz w:val="20"/>
        </w:rPr>
        <w:t>National Space Research and Development Agency (NASRDA)</w:t>
      </w:r>
      <w:r>
        <w:rPr>
          <w:rFonts w:ascii="Calibri" w:hAnsi="Calibri"/>
          <w:color w:val="1E293B"/>
          <w:sz w:val="20"/>
        </w:rPr>
        <w:t xml:space="preserve"> to establish a unified national framework for agricultural produce traceability, satellite farmland monitoring, and deforestation-free supply-chain verification (</w:t>
      </w:r>
      <w:hyperlink r:id="rId26">
        <w:r>
          <w:rPr>
            <w:rFonts w:ascii="Calibri" w:hAnsi="Calibri"/>
            <w:color w:val="B45309"/>
            <w:u w:val="single"/>
            <w:sz w:val="20"/>
          </w:rPr>
          <w:t>BusinessDay</w:t>
        </w:r>
      </w:hyperlink>
      <w:r>
        <w:rPr>
          <w:rFonts w:ascii="Calibri" w:hAnsi="Calibri"/>
          <w:color w:val="1E293B"/>
          <w:sz w:val="20"/>
        </w:rPr>
        <w:t xml:space="preserve">). Under this framework, NASRDA provides satellite imagery, geospatial polygon mapping, and deforestation verification, while FMAFS, </w:t>
      </w:r>
      <w:r>
        <w:rPr>
          <w:rFonts w:ascii="Calibri" w:hAnsi="Calibri"/>
          <w:b/>
          <w:color w:val="1E293B"/>
          <w:sz w:val="20"/>
        </w:rPr>
        <w:t>NEPC South-West</w:t>
      </w:r>
      <w:r>
        <w:rPr>
          <w:rFonts w:ascii="Calibri" w:hAnsi="Calibri"/>
          <w:color w:val="1E293B"/>
          <w:sz w:val="20"/>
        </w:rPr>
        <w:t xml:space="preserve">, and the </w:t>
      </w:r>
      <w:r>
        <w:rPr>
          <w:rFonts w:ascii="Calibri" w:hAnsi="Calibri"/>
          <w:b/>
          <w:color w:val="1E293B"/>
          <w:sz w:val="20"/>
        </w:rPr>
        <w:t>National Cocoa Management Committee (NCMC)</w:t>
      </w:r>
      <w:r>
        <w:rPr>
          <w:rFonts w:ascii="Calibri" w:hAnsi="Calibri"/>
          <w:color w:val="1E293B"/>
          <w:sz w:val="20"/>
        </w:rPr>
        <w:t xml:space="preserve"> coordinate farmer registration, cooperative onboarding, and export compliance.</w:t>
      </w:r>
    </w:p>
    <w:p>
      <w:pPr>
        <w:pStyle w:val="ListBullet"/>
        <w:spacing w:before="40" w:after="60"/>
      </w:pPr>
      <w:r>
        <w:rPr>
          <w:rFonts w:ascii="Calibri" w:hAnsi="Calibri"/>
          <w:b/>
          <w:color w:val="1E293B"/>
          <w:sz w:val="20"/>
        </w:rPr>
        <w:t>Scale and urgency of the economic stake:</w:t>
      </w:r>
      <w:r>
        <w:rPr>
          <w:rFonts w:ascii="Calibri" w:hAnsi="Calibri"/>
          <w:color w:val="1E293B"/>
          <w:sz w:val="20"/>
        </w:rPr>
        <w:t xml:space="preserve"> Cocoa is Nigeria's leading agricultural export family—earning </w:t>
      </w:r>
      <w:r>
        <w:rPr>
          <w:rFonts w:ascii="Calibri" w:hAnsi="Calibri"/>
          <w:b/>
          <w:color w:val="1E293B"/>
          <w:sz w:val="20"/>
        </w:rPr>
        <w:t>$670.0 million in 2023 (HS 1801)</w:t>
      </w:r>
      <w:r>
        <w:rPr>
          <w:rFonts w:ascii="Calibri" w:hAnsi="Calibri"/>
          <w:color w:val="1E293B"/>
          <w:sz w:val="20"/>
        </w:rPr>
        <w:t xml:space="preserve"> and </w:t>
      </w:r>
      <w:r>
        <w:rPr>
          <w:rFonts w:ascii="Calibri" w:hAnsi="Calibri"/>
          <w:b/>
          <w:color w:val="1E293B"/>
          <w:sz w:val="20"/>
        </w:rPr>
        <w:t>$2.37 billion across wider HS Chapter 18 in 2025</w:t>
      </w:r>
      <w:r>
        <w:rPr>
          <w:rFonts w:ascii="Calibri" w:hAnsi="Calibri"/>
          <w:color w:val="1E293B"/>
          <w:sz w:val="20"/>
        </w:rPr>
        <w:t xml:space="preserve"> (</w:t>
      </w:r>
      <w:hyperlink r:id="rId75">
        <w:r>
          <w:rPr>
            <w:rFonts w:ascii="Calibri" w:hAnsi="Calibri"/>
            <w:color w:val="B45309"/>
            <w:u w:val="single"/>
            <w:sz w:val="20"/>
          </w:rPr>
          <w:t>TrendEconomy</w:t>
        </w:r>
      </w:hyperlink>
      <w:r>
        <w:rPr>
          <w:rFonts w:ascii="Calibri" w:hAnsi="Calibri"/>
          <w:color w:val="1E293B"/>
          <w:sz w:val="20"/>
        </w:rPr>
        <w:t xml:space="preserve">; </w:t>
      </w:r>
      <w:hyperlink r:id="rId76">
        <w:r>
          <w:rPr>
            <w:rFonts w:ascii="Calibri" w:hAnsi="Calibri"/>
            <w:color w:val="B45309"/>
            <w:u w:val="single"/>
            <w:sz w:val="20"/>
          </w:rPr>
          <w:t>Trading Economics</w:t>
        </w:r>
      </w:hyperlink>
      <w:r>
        <w:rPr>
          <w:rFonts w:ascii="Calibri" w:hAnsi="Calibri"/>
          <w:color w:val="1E293B"/>
          <w:sz w:val="20"/>
        </w:rPr>
        <w:t>), with H1 2025 cocoa exports accounting for roughly $1.12 billion (</w:t>
      </w:r>
      <w:hyperlink r:id="rId77">
        <w:r>
          <w:rPr>
            <w:rFonts w:ascii="Calibri" w:hAnsi="Calibri"/>
            <w:color w:val="B45309"/>
            <w:u w:val="single"/>
            <w:sz w:val="20"/>
          </w:rPr>
          <w:t>BusinessDay</w:t>
        </w:r>
      </w:hyperlink>
      <w:r>
        <w:rPr>
          <w:rFonts w:ascii="Calibri" w:hAnsi="Calibri"/>
          <w:color w:val="1E293B"/>
          <w:sz w:val="20"/>
        </w:rPr>
        <w:t>) and Q1 2026 reaching NGN 596.9 billion (</w:t>
      </w:r>
      <w:hyperlink r:id="rId78">
        <w:r>
          <w:rPr>
            <w:rFonts w:ascii="Calibri" w:hAnsi="Calibri"/>
            <w:color w:val="B45309"/>
            <w:u w:val="single"/>
            <w:sz w:val="20"/>
          </w:rPr>
          <w:t>Arise News</w:t>
        </w:r>
      </w:hyperlink>
      <w:r>
        <w:rPr>
          <w:rFonts w:ascii="Calibri" w:hAnsi="Calibri"/>
          <w:color w:val="1E293B"/>
          <w:sz w:val="20"/>
        </w:rPr>
        <w:t>). The European Union (led by the Netherlands at $961.6M and Belgium at $427.5M in 2025 (</w:t>
      </w:r>
      <w:hyperlink r:id="rId79">
        <w:r>
          <w:rPr>
            <w:rFonts w:ascii="Calibri" w:hAnsi="Calibri"/>
            <w:color w:val="B45309"/>
            <w:u w:val="single"/>
            <w:sz w:val="20"/>
          </w:rPr>
          <w:t>Trading Economics NL</w:t>
        </w:r>
      </w:hyperlink>
      <w:r>
        <w:rPr>
          <w:rFonts w:ascii="Calibri" w:hAnsi="Calibri"/>
          <w:color w:val="1E293B"/>
          <w:sz w:val="20"/>
        </w:rPr>
        <w:t xml:space="preserve">; </w:t>
      </w:r>
      <w:hyperlink r:id="rId80">
        <w:r>
          <w:rPr>
            <w:rFonts w:ascii="Calibri" w:hAnsi="Calibri"/>
            <w:color w:val="B45309"/>
            <w:u w:val="single"/>
            <w:sz w:val="20"/>
          </w:rPr>
          <w:t>Trading Economics BE</w:t>
        </w:r>
      </w:hyperlink>
      <w:r>
        <w:rPr>
          <w:rFonts w:ascii="Calibri" w:hAnsi="Calibri"/>
          <w:color w:val="1E293B"/>
          <w:sz w:val="20"/>
        </w:rPr>
        <w:t xml:space="preserve">)) is Nigeria's dominant market, and the </w:t>
      </w:r>
      <w:r>
        <w:rPr>
          <w:rFonts w:ascii="Calibri" w:hAnsi="Calibri"/>
          <w:b/>
          <w:color w:val="1E293B"/>
          <w:sz w:val="20"/>
        </w:rPr>
        <w:t>EU Deforestation Regulation (EUDR)</w:t>
      </w:r>
      <w:r>
        <w:rPr>
          <w:rFonts w:ascii="Calibri" w:hAnsi="Calibri"/>
          <w:color w:val="1E293B"/>
          <w:sz w:val="20"/>
        </w:rPr>
        <w:t xml:space="preserve"> mandatory compliance deadline for large operators takes effect on </w:t>
      </w:r>
      <w:r>
        <w:rPr>
          <w:rFonts w:ascii="Calibri" w:hAnsi="Calibri"/>
          <w:b/>
          <w:color w:val="1E293B"/>
          <w:sz w:val="20"/>
        </w:rPr>
        <w:t>30 December 2026</w:t>
      </w:r>
      <w:r>
        <w:rPr>
          <w:rFonts w:ascii="Calibri" w:hAnsi="Calibri"/>
          <w:color w:val="1E293B"/>
          <w:sz w:val="20"/>
        </w:rPr>
        <w:t xml:space="preserve"> (</w:t>
      </w:r>
      <w:hyperlink r:id="rId81">
        <w:r>
          <w:rPr>
            <w:rFonts w:ascii="Calibri" w:hAnsi="Calibri"/>
            <w:color w:val="B45309"/>
            <w:u w:val="single"/>
            <w:sz w:val="20"/>
          </w:rPr>
          <w:t>EC Access2Markets</w:t>
        </w:r>
      </w:hyperlink>
      <w:r>
        <w:rPr>
          <w:rFonts w:ascii="Calibri" w:hAnsi="Calibri"/>
          <w:color w:val="1E293B"/>
          <w:sz w:val="20"/>
        </w:rPr>
        <w:t xml:space="preserve">; </w:t>
      </w:r>
      <w:hyperlink r:id="rId82">
        <w:r>
          <w:rPr>
            <w:rFonts w:ascii="Calibri" w:hAnsi="Calibri"/>
            <w:color w:val="B45309"/>
            <w:u w:val="single"/>
            <w:sz w:val="20"/>
          </w:rPr>
          <w:t>Ropes &amp; Gray</w:t>
        </w:r>
      </w:hyperlink>
      <w:r>
        <w:rPr>
          <w:rFonts w:ascii="Calibri" w:hAnsi="Calibri"/>
          <w:color w:val="1E293B"/>
          <w:sz w:val="20"/>
        </w:rPr>
        <w:t xml:space="preserve">). With roughly </w:t>
      </w:r>
      <w:r>
        <w:rPr>
          <w:rFonts w:ascii="Calibri" w:hAnsi="Calibri"/>
          <w:b/>
          <w:color w:val="1E293B"/>
          <w:sz w:val="20"/>
        </w:rPr>
        <w:t>350,000 Nigerian cocoa plots (~50% geolocated as of October 2026)</w:t>
      </w:r>
      <w:r>
        <w:rPr>
          <w:rFonts w:ascii="Calibri" w:hAnsi="Calibri"/>
          <w:color w:val="1E293B"/>
          <w:sz w:val="20"/>
        </w:rPr>
        <w:t xml:space="preserve"> requiring verified polygon and legality dossiers, closing the last-mile advisory and data-capture gap is an immediate national priority.</w:t>
      </w:r>
    </w:p>
    <w:p>
      <w:pPr>
        <w:keepNext/>
        <w:spacing w:before="220" w:after="80"/>
      </w:pPr>
      <w:r>
        <w:rPr>
          <w:rFonts w:ascii="Calibri" w:hAnsi="Calibri"/>
          <w:b/>
          <w:color w:val="0A3D1F"/>
          <w:sz w:val="23"/>
        </w:rPr>
        <w:t>A.2 Pilot scope, low-token engineering, and institutional roles</w:t>
      </w:r>
    </w:p>
    <w:p>
      <w:pPr>
        <w:spacing w:before="60" w:after="120" w:line="276" w:lineRule="auto"/>
      </w:pPr>
      <w:r>
        <w:rPr>
          <w:rFonts w:ascii="Calibri" w:hAnsi="Calibri"/>
          <w:color w:val="1E293B"/>
          <w:sz w:val="21"/>
        </w:rPr>
        <w:t xml:space="preserve">The six-month pilot provides cocoa farmers, lead farmers, and cooperative secretaries across </w:t>
      </w:r>
      <w:r>
        <w:rPr>
          <w:rFonts w:ascii="Calibri" w:hAnsi="Calibri"/>
          <w:b/>
          <w:color w:val="1E293B"/>
          <w:sz w:val="21"/>
        </w:rPr>
        <w:t>Ondo and Osun States</w:t>
      </w:r>
      <w:r>
        <w:rPr>
          <w:rFonts w:ascii="Calibri" w:hAnsi="Calibri"/>
          <w:color w:val="1E293B"/>
          <w:sz w:val="21"/>
        </w:rPr>
        <w:t xml:space="preserve"> with a zero-rated AI advisory assistant over </w:t>
      </w:r>
      <w:r>
        <w:rPr>
          <w:rFonts w:ascii="Calibri" w:hAnsi="Calibri"/>
          <w:b/>
          <w:color w:val="1E293B"/>
          <w:sz w:val="21"/>
        </w:rPr>
        <w:t>WhatsApp and interactive voice notes</w:t>
      </w:r>
      <w:r>
        <w:rPr>
          <w:rFonts w:ascii="Calibri" w:hAnsi="Calibri"/>
          <w:color w:val="1E293B"/>
          <w:sz w:val="21"/>
        </w:rPr>
        <w:t xml:space="preserve"> in </w:t>
      </w:r>
      <w:r>
        <w:rPr>
          <w:rFonts w:ascii="Calibri" w:hAnsi="Calibri"/>
          <w:b/>
          <w:color w:val="1E293B"/>
          <w:sz w:val="21"/>
        </w:rPr>
        <w:t>English, Yoruba, and Nigerian Pidgin</w:t>
      </w:r>
      <w:r>
        <w:rPr>
          <w:rFonts w:ascii="Calibri" w:hAnsi="Calibri"/>
          <w:color w:val="1E293B"/>
          <w:sz w:val="21"/>
        </w:rPr>
        <w:t>:</w:t>
      </w:r>
    </w:p>
    <w:p>
      <w:pPr>
        <w:spacing w:before="50" w:after="70"/>
        <w:ind w:left="360" w:hanging="360"/>
      </w:pPr>
      <w:r>
        <w:rPr>
          <w:rFonts w:ascii="Calibri" w:hAnsi="Calibri"/>
          <w:b/>
          <w:color w:val="0A3D1F"/>
          <w:sz w:val="20"/>
        </w:rPr>
        <w:t xml:space="preserve">1. </w:t>
      </w:r>
      <w:r>
        <w:rPr>
          <w:rFonts w:ascii="Calibri" w:hAnsi="Calibri"/>
          <w:b/>
          <w:color w:val="1E293B"/>
          <w:sz w:val="20"/>
        </w:rPr>
        <w:t>Agronomic &amp; Quality Advisory:</w:t>
      </w:r>
      <w:r>
        <w:rPr>
          <w:rFonts w:ascii="Calibri" w:hAnsi="Calibri"/>
          <w:color w:val="1E293B"/>
          <w:sz w:val="20"/>
        </w:rPr>
        <w:t xml:space="preserve"> Integrated pest and black-pod disease management, approved agro-chemical residue limits (preventing EU border rejections under Regulation 2026/1206 (</w:t>
      </w:r>
      <w:hyperlink r:id="rId83">
        <w:r>
          <w:rPr>
            <w:rFonts w:ascii="Calibri" w:hAnsi="Calibri"/>
            <w:color w:val="B45309"/>
            <w:u w:val="single"/>
            <w:sz w:val="20"/>
          </w:rPr>
          <w:t>Lovguiden</w:t>
        </w:r>
      </w:hyperlink>
      <w:r>
        <w:rPr>
          <w:rFonts w:ascii="Calibri" w:hAnsi="Calibri"/>
          <w:color w:val="1E293B"/>
          <w:sz w:val="20"/>
        </w:rPr>
        <w:t>)), fermentation/drying standards, and daily farm-gate price transparency.</w:t>
      </w:r>
    </w:p>
    <w:p>
      <w:pPr>
        <w:spacing w:before="50" w:after="70"/>
        <w:ind w:left="360" w:hanging="360"/>
      </w:pPr>
      <w:r>
        <w:rPr>
          <w:rFonts w:ascii="Calibri" w:hAnsi="Calibri"/>
          <w:b/>
          <w:color w:val="0A3D1F"/>
          <w:sz w:val="20"/>
        </w:rPr>
        <w:t xml:space="preserve">2. </w:t>
      </w:r>
      <w:r>
        <w:rPr>
          <w:rFonts w:ascii="Calibri" w:hAnsi="Calibri"/>
          <w:b/>
          <w:color w:val="1E293B"/>
          <w:sz w:val="20"/>
        </w:rPr>
        <w:t>EUDR Polygon &amp; Traceability Co-Pilot:</w:t>
      </w:r>
      <w:r>
        <w:rPr>
          <w:rFonts w:ascii="Calibri" w:hAnsi="Calibri"/>
          <w:color w:val="1E293B"/>
          <w:sz w:val="20"/>
        </w:rPr>
        <w:t xml:space="preserve"> Step-by-step voice and WhatsApp guidance walking cooperative officers through GPS farm-boundary polygon walk-arounds, farmer identity linking (Nigeria National Farmer Registry </w:t>
      </w:r>
      <w:r>
        <w:rPr>
          <w:rFonts w:ascii="Consolas" w:hAnsi="Consolas"/>
          <w:b/>
          <w:color w:val="0A3D1F"/>
          <w:sz w:val="19"/>
        </w:rPr>
        <w:t>nnfr-registry</w:t>
      </w:r>
      <w:r>
        <w:rPr>
          <w:rFonts w:ascii="Calibri" w:hAnsi="Calibri"/>
          <w:color w:val="1E293B"/>
          <w:sz w:val="20"/>
        </w:rPr>
        <w:t xml:space="preserve"> prototype), and submission to the National Cocoa Traceability Data Warehouse (</w:t>
      </w:r>
      <w:r>
        <w:rPr>
          <w:rFonts w:ascii="Consolas" w:hAnsi="Consolas"/>
          <w:b/>
          <w:color w:val="0A3D1F"/>
          <w:sz w:val="19"/>
        </w:rPr>
        <w:t>national-traceability-warehouse</w:t>
      </w:r>
      <w:r>
        <w:rPr>
          <w:rFonts w:ascii="Calibri" w:hAnsi="Calibri"/>
          <w:color w:val="1E293B"/>
          <w:sz w:val="20"/>
        </w:rPr>
        <w:t xml:space="preserve"> API) for NASRDA satellite cross-checking.</w:t>
      </w:r>
    </w:p>
    <w:p>
      <w:pPr>
        <w:spacing w:before="50" w:after="70"/>
        <w:ind w:left="360" w:hanging="360"/>
      </w:pPr>
      <w:r>
        <w:rPr>
          <w:rFonts w:ascii="Calibri" w:hAnsi="Calibri"/>
          <w:b/>
          <w:color w:val="0A3D1F"/>
          <w:sz w:val="20"/>
        </w:rPr>
        <w:t xml:space="preserve">3. </w:t>
      </w:r>
      <w:r>
        <w:rPr>
          <w:rFonts w:ascii="Calibri" w:hAnsi="Calibri"/>
          <w:b/>
          <w:color w:val="1E293B"/>
          <w:sz w:val="20"/>
        </w:rPr>
        <w:t>Human-in-the-Loop Escalation:</w:t>
      </w:r>
      <w:r>
        <w:rPr>
          <w:rFonts w:ascii="Calibri" w:hAnsi="Calibri"/>
          <w:color w:val="1E293B"/>
          <w:sz w:val="20"/>
        </w:rPr>
        <w:t xml:space="preserve"> High-stakes chemical, disease, or boundary-dispute queries escalate automatically to FMAFS/state agricultural extension officers and NCMC specialists; AI never issues regulatory certificates on its own.</w:t>
      </w:r>
    </w:p>
    <w:p>
      <w:pPr>
        <w:spacing w:before="60" w:after="120" w:line="276" w:lineRule="auto"/>
      </w:pPr>
      <w:r>
        <w:rPr>
          <w:rFonts w:ascii="Calibri" w:hAnsi="Calibri"/>
          <w:b/>
          <w:color w:val="1E293B"/>
          <w:sz w:val="21"/>
        </w:rPr>
        <w:t>Token-efficiency engineering:</w:t>
      </w:r>
    </w:p>
    <w:p>
      <w:pPr>
        <w:pStyle w:val="ListBullet"/>
        <w:spacing w:before="40" w:after="60"/>
      </w:pPr>
      <w:r>
        <w:rPr>
          <w:rFonts w:ascii="Calibri" w:hAnsi="Calibri"/>
          <w:color w:val="1E293B"/>
          <w:sz w:val="20"/>
        </w:rPr>
        <w:t xml:space="preserve">Pre-deployment </w:t>
      </w:r>
      <w:r>
        <w:rPr>
          <w:rFonts w:ascii="Calibri" w:hAnsi="Calibri"/>
          <w:b/>
          <w:color w:val="1E293B"/>
          <w:sz w:val="20"/>
        </w:rPr>
        <w:t>tokenizer audit</w:t>
      </w:r>
      <w:r>
        <w:rPr>
          <w:rFonts w:ascii="Calibri" w:hAnsi="Calibri"/>
          <w:color w:val="1E293B"/>
          <w:sz w:val="20"/>
        </w:rPr>
        <w:t xml:space="preserve"> across Yoruba and Nigerian Pidgin to select the lowest-fertility open-weight model hosted in a Lagos data centre (Kasi / MTN / Airtel / Rack Centre) and billed in Naira.</w:t>
      </w:r>
    </w:p>
    <w:p>
      <w:pPr>
        <w:pStyle w:val="ListBullet"/>
        <w:spacing w:before="40" w:after="60"/>
      </w:pPr>
      <w:r>
        <w:rPr>
          <w:rFonts w:ascii="Calibri" w:hAnsi="Calibri"/>
          <w:b/>
          <w:color w:val="1E293B"/>
          <w:sz w:val="20"/>
        </w:rPr>
        <w:t>Semantic caching</w:t>
      </w:r>
      <w:r>
        <w:rPr>
          <w:rFonts w:ascii="Calibri" w:hAnsi="Calibri"/>
          <w:color w:val="1E293B"/>
          <w:sz w:val="20"/>
        </w:rPr>
        <w:t xml:space="preserve"> of the top 500 seasonal agronomic and EUDR questions, cutting repeated inference compute costs by &gt;70%.</w:t>
      </w:r>
    </w:p>
    <w:p>
      <w:pPr>
        <w:pStyle w:val="ListBullet"/>
        <w:spacing w:before="40" w:after="60"/>
      </w:pPr>
      <w:r>
        <w:rPr>
          <w:rFonts w:ascii="Calibri" w:hAnsi="Calibri"/>
          <w:color w:val="1E293B"/>
          <w:sz w:val="20"/>
        </w:rPr>
        <w:t xml:space="preserve">Automated </w:t>
      </w:r>
      <w:r>
        <w:rPr>
          <w:rFonts w:ascii="Calibri" w:hAnsi="Calibri"/>
          <w:b/>
          <w:color w:val="1E293B"/>
          <w:sz w:val="20"/>
        </w:rPr>
        <w:t>voice-note synthesis</w:t>
      </w:r>
      <w:r>
        <w:rPr>
          <w:rFonts w:ascii="Calibri" w:hAnsi="Calibri"/>
          <w:color w:val="1E293B"/>
          <w:sz w:val="20"/>
        </w:rPr>
        <w:t xml:space="preserve"> so low-literacy smallholders interact seamlessly without typing.</w:t>
      </w:r>
    </w:p>
    <w:p>
      <w:pPr>
        <w:keepNext/>
        <w:spacing w:before="220" w:after="80"/>
      </w:pPr>
      <w:r>
        <w:rPr>
          <w:rFonts w:ascii="Calibri" w:hAnsi="Calibri"/>
          <w:b/>
          <w:color w:val="B45309"/>
          <w:sz w:val="23"/>
        </w:rPr>
        <w:t>Table 18: Annex A Pilot Partners, Governance Roles, and Two-Stage Scoreboard Metrics</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Pilot Partner</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Specific Operational Role in Annex A Pilot</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Stage-1 &amp; Stage-2 Scoreboard Metrics Logged on Public Ledger</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NEPC South-West Regional Office</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Pilot coordination lead; EUDR export compliance rules, exporter linkage, and cooperative onboarding.</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Stage 1 (Quarterly Operational Gate):</w:t>
            </w:r>
            <w:r>
              <w:rPr>
                <w:rFonts w:ascii="Calibri" w:hAnsi="Calibri"/>
                <w:color w:val="1E293B"/>
                <w:sz w:val="17"/>
              </w:rPr>
              <w:br/>
              <w:t xml:space="preserve">• </w:t>
            </w:r>
            <w:r>
              <w:rPr>
                <w:rFonts w:ascii="Calibri" w:hAnsi="Calibri"/>
                <w:b/>
                <w:color w:val="1E293B"/>
                <w:sz w:val="17"/>
              </w:rPr>
              <w:t>Audited Cost per Useful/Verified Answer in Naira</w:t>
            </w:r>
            <w:r>
              <w:rPr>
                <w:rFonts w:ascii="Calibri" w:hAnsi="Calibri"/>
                <w:color w:val="1E293B"/>
                <w:sz w:val="17"/>
              </w:rPr>
              <w:t xml:space="preserve"> (Target: &lt;NGN 150 per verified resolution).</w:t>
              <w:br/>
              <w:t xml:space="preserve">• </w:t>
            </w:r>
            <w:r>
              <w:rPr>
                <w:rFonts w:ascii="Calibri" w:hAnsi="Calibri"/>
                <w:b/>
                <w:color w:val="1E293B"/>
                <w:sz w:val="17"/>
              </w:rPr>
              <w:t>Clinical/Agronomic Accuracy Rate:</w:t>
            </w:r>
            <w:r>
              <w:rPr>
                <w:rFonts w:ascii="Calibri" w:hAnsi="Calibri"/>
                <w:color w:val="1E293B"/>
                <w:sz w:val="17"/>
              </w:rPr>
              <w:t xml:space="preserve"> &gt;=90% of a weekly 5% random sample rated accurate and safe by FMAFS extension officers.</w:t>
              <w:br/>
              <w:t xml:space="preserve">• </w:t>
            </w:r>
            <w:r>
              <w:rPr>
                <w:rFonts w:ascii="Calibri" w:hAnsi="Calibri"/>
                <w:b/>
                <w:color w:val="1E293B"/>
                <w:sz w:val="17"/>
              </w:rPr>
              <w:t>Linguistic Inclusion Share:</w:t>
            </w:r>
            <w:r>
              <w:rPr>
                <w:rFonts w:ascii="Calibri" w:hAnsi="Calibri"/>
                <w:color w:val="1E293B"/>
                <w:sz w:val="17"/>
              </w:rPr>
              <w:t xml:space="preserve"> % of queries conducted in Yoruba or Nigerian Pidgin via voice/text (Target: &gt;=60%).</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National Cocoa Management Committee (NCMC)</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Sector validation of cocoa agronomy, grading, and cooperative field mobilisation.</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Stage 2 (Semi-Annual Outcome Oracle Gate):</w:t>
            </w:r>
            <w:r>
              <w:rPr>
                <w:rFonts w:ascii="Calibri" w:hAnsi="Calibri"/>
                <w:color w:val="1E293B"/>
                <w:sz w:val="17"/>
              </w:rPr>
              <w:br/>
              <w:t xml:space="preserve">• </w:t>
            </w:r>
            <w:r>
              <w:rPr>
                <w:rFonts w:ascii="Calibri" w:hAnsi="Calibri"/>
                <w:b/>
                <w:color w:val="1E293B"/>
                <w:sz w:val="17"/>
              </w:rPr>
              <w:t>EUDR Polygon Completion Rate:</w:t>
            </w:r>
            <w:r>
              <w:rPr>
                <w:rFonts w:ascii="Calibri" w:hAnsi="Calibri"/>
                <w:color w:val="1E293B"/>
                <w:sz w:val="17"/>
              </w:rPr>
              <w:t xml:space="preserve"> Number and % of enrolled cooperatives completing verified GPS polygon and legality packs in the FMAFS–NASRDA warehouse.</w:t>
              <w:br/>
              <w:t xml:space="preserve">• </w:t>
            </w:r>
            <w:r>
              <w:rPr>
                <w:rFonts w:ascii="Calibri" w:hAnsi="Calibri"/>
                <w:b/>
                <w:color w:val="1E293B"/>
                <w:sz w:val="17"/>
              </w:rPr>
              <w:t>Batch Rejection &amp; Price Impact:</w:t>
            </w:r>
            <w:r>
              <w:rPr>
                <w:rFonts w:ascii="Calibri" w:hAnsi="Calibri"/>
                <w:color w:val="1E293B"/>
                <w:sz w:val="17"/>
              </w:rPr>
              <w:t xml:space="preserve"> Reduction in pesticide/moisture quality rejections and verified farm-gate price differential vs. non-enrolled control cooperatives.</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FMAFS &amp; NASRDA</w:t>
            </w:r>
          </w:p>
        </w:tc>
        <w:tc>
          <w:tcPr>
            <w:tcW w:type="dxa" w:w="3360"/>
            <w:vAlign w:val="top"/>
            <w:shd w:fill="FFFFFF"/>
            <w:tcMar>
              <w:top w:w="85" w:type="dxa"/>
              <w:bottom w:w="85" w:type="dxa"/>
              <w:left w:w="105" w:type="dxa"/>
              <w:right w:w="105" w:type="dxa"/>
            </w:tcMar>
          </w:tcPr>
          <w:p>
            <w:pPr>
              <w:spacing w:before="20" w:after="20"/>
            </w:pPr>
            <w:r>
              <w:rPr>
                <w:rFonts w:ascii="Calibri" w:hAnsi="Calibri"/>
                <w:color w:val="1E293B"/>
                <w:sz w:val="17"/>
              </w:rPr>
              <w:t>Extension officer escalation network (FMAFS) and satellite deforestation verification API (NASRDA).</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Evidence Gate 1 Decision Rule:</w:t>
            </w:r>
            <w:r>
              <w:rPr>
                <w:rFonts w:ascii="Calibri" w:hAnsi="Calibri"/>
                <w:color w:val="1E293B"/>
                <w:sz w:val="17"/>
              </w:rPr>
              <w:t xml:space="preserve"> Scaling to all cocoa-producing states (Cross River, Edo, Ogun, Akwa Ibom, Taraba) and expanding to sesame, cashew, and rubber in Phase 2 is contingent on passing both Stage-1 and Stage-2 thresholds at Month 6.</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NITDA, NCAIR &amp; Mobile Network Operator</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NITDA procurement clearance &amp; NDPA data protection; NCAIR Yoruba/Pidgin tokenizer tuning; MNO zero-rated WhatsApp/voice channel.</w:t>
            </w:r>
          </w:p>
        </w:tc>
        <w:tc>
          <w:tcPr>
            <w:tcW w:type="dxa" w:w="3360"/>
            <w:vAlign w:val="top"/>
            <w:shd w:fill="F5F2EB"/>
            <w:tcMar>
              <w:top w:w="85" w:type="dxa"/>
              <w:bottom w:w="85" w:type="dxa"/>
              <w:left w:w="105" w:type="dxa"/>
              <w:right w:w="105" w:type="dxa"/>
            </w:tcMar>
          </w:tcPr>
          <w:p>
            <w:pPr>
              <w:spacing w:before="20" w:after="20"/>
            </w:pPr>
            <w:r>
              <w:rPr>
                <w:rFonts w:ascii="Calibri" w:hAnsi="Calibri"/>
                <w:color w:val="1E293B"/>
                <w:sz w:val="17"/>
              </w:rPr>
              <w:t xml:space="preserve">All token expenditures, cache hit rates, and extension audit logs written weekly to the </w:t>
            </w:r>
            <w:r>
              <w:rPr>
                <w:rFonts w:ascii="Calibri" w:hAnsi="Calibri"/>
                <w:b/>
                <w:color w:val="1E293B"/>
                <w:sz w:val="17"/>
              </w:rPr>
              <w:t>Public Ledger</w:t>
            </w:r>
            <w:r>
              <w:rPr>
                <w:rFonts w:ascii="Calibri" w:hAnsi="Calibri"/>
                <w:color w:val="1E293B"/>
                <w:sz w:val="17"/>
              </w:rPr>
              <w:t>.</w:t>
            </w:r>
          </w:p>
        </w:tc>
      </w:tr>
    </w:tbl>
    <w:p>
      <w:pPr>
        <w:spacing w:before="0" w:after="120"/>
      </w:pPr>
    </w:p>
    <w:p>
      <w:pPr>
        <w:keepNext/>
        <w:spacing w:before="320" w:after="120"/>
        <w:pBdr>
          <w:bottom w:val="single" w:sz="12" w:space="4" w:color="B45309"/>
        </w:pBdr>
      </w:pPr>
      <w:r>
        <w:rPr>
          <w:rFonts w:ascii="Calibri" w:hAnsi="Calibri"/>
          <w:b/>
          <w:color w:val="0A3D1F"/>
          <w:sz w:val="29"/>
        </w:rPr>
        <w:t>Annex B: Proof-of-Concept Pilot 2 — AfCFTA Trade Flows Second Brain and SME Export ClusterBots (eBDSP Framework)</w:t>
      </w:r>
    </w:p>
    <w:p>
      <w:pPr>
        <w:spacing w:before="60" w:after="120" w:line="276" w:lineRule="auto"/>
      </w:pPr>
      <w:r>
        <w:rPr>
          <w:rFonts w:ascii="Calibri" w:hAnsi="Calibri"/>
          <w:color w:val="1E293B"/>
          <w:sz w:val="21"/>
        </w:rPr>
        <w:t xml:space="preserve">While Annex A proves Return on Tokens in upstream agricultural production and satellite traceability, </w:t>
      </w:r>
      <w:r>
        <w:rPr>
          <w:rFonts w:ascii="Calibri" w:hAnsi="Calibri"/>
          <w:b/>
          <w:color w:val="1E293B"/>
          <w:sz w:val="21"/>
        </w:rPr>
        <w:t>Pilot 2 (Annex B)</w:t>
      </w:r>
      <w:r>
        <w:rPr>
          <w:rFonts w:ascii="Calibri" w:hAnsi="Calibri"/>
          <w:color w:val="1E293B"/>
          <w:sz w:val="21"/>
        </w:rPr>
        <w:t xml:space="preserve"> proves the framework across downstream </w:t>
      </w:r>
      <w:r>
        <w:rPr>
          <w:rFonts w:ascii="Calibri" w:hAnsi="Calibri"/>
          <w:b/>
          <w:color w:val="1E293B"/>
          <w:sz w:val="21"/>
        </w:rPr>
        <w:t>non-oil export intelligence, regulatory compliance, and SME trade facilitation</w:t>
      </w:r>
      <w:r>
        <w:rPr>
          <w:rFonts w:ascii="Calibri" w:hAnsi="Calibri"/>
          <w:color w:val="1E293B"/>
          <w:sz w:val="21"/>
        </w:rPr>
        <w:t>.</w:t>
      </w:r>
    </w:p>
    <w:p>
      <w:pPr>
        <w:keepNext/>
        <w:spacing w:before="220" w:after="80"/>
      </w:pPr>
      <w:r>
        <w:rPr>
          <w:rFonts w:ascii="Calibri" w:hAnsi="Calibri"/>
          <w:b/>
          <w:color w:val="0A3D1F"/>
          <w:sz w:val="23"/>
        </w:rPr>
        <w:t>B.1 Anchoring in NEPC's eBDSP framework and the $6.1 billion non-oil export baseline</w:t>
      </w:r>
    </w:p>
    <w:p>
      <w:pPr>
        <w:spacing w:before="60" w:after="120" w:line="276" w:lineRule="auto"/>
      </w:pPr>
      <w:r>
        <w:rPr>
          <w:rFonts w:ascii="Calibri" w:hAnsi="Calibri"/>
          <w:color w:val="1E293B"/>
          <w:sz w:val="21"/>
        </w:rPr>
        <w:t xml:space="preserve">Nigeria recorded </w:t>
      </w:r>
      <w:r>
        <w:rPr>
          <w:rFonts w:ascii="Calibri" w:hAnsi="Calibri"/>
          <w:b/>
          <w:color w:val="1E293B"/>
          <w:sz w:val="21"/>
        </w:rPr>
        <w:t>$6.1 billion in non-oil exports in 2025</w:t>
      </w:r>
      <w:r>
        <w:rPr>
          <w:rFonts w:ascii="Calibri" w:hAnsi="Calibri"/>
          <w:color w:val="1E293B"/>
          <w:sz w:val="21"/>
        </w:rPr>
        <w:t xml:space="preserve"> across 280 exported products (</w:t>
      </w:r>
      <w:hyperlink r:id="rId27">
        <w:r>
          <w:rPr>
            <w:rFonts w:ascii="Calibri" w:hAnsi="Calibri"/>
            <w:color w:val="B45309"/>
            <w:u w:val="single"/>
            <w:sz w:val="21"/>
          </w:rPr>
          <w:t>NAN</w:t>
        </w:r>
      </w:hyperlink>
      <w:r>
        <w:rPr>
          <w:rFonts w:ascii="Calibri" w:hAnsi="Calibri"/>
          <w:color w:val="1E293B"/>
          <w:sz w:val="21"/>
        </w:rPr>
        <w:t xml:space="preserve">; </w:t>
      </w:r>
      <w:hyperlink r:id="rId84">
        <w:r>
          <w:rPr>
            <w:rFonts w:ascii="Calibri" w:hAnsi="Calibri"/>
            <w:color w:val="B45309"/>
            <w:u w:val="single"/>
            <w:sz w:val="21"/>
          </w:rPr>
          <w:t>allAfrica</w:t>
        </w:r>
      </w:hyperlink>
      <w:r>
        <w:rPr>
          <w:rFonts w:ascii="Calibri" w:hAnsi="Calibri"/>
          <w:color w:val="1E293B"/>
          <w:sz w:val="21"/>
        </w:rPr>
        <w:t xml:space="preserve">), with NEPC targeting a </w:t>
      </w:r>
      <w:r>
        <w:rPr>
          <w:rFonts w:ascii="Calibri" w:hAnsi="Calibri"/>
          <w:b/>
          <w:color w:val="1E293B"/>
          <w:sz w:val="21"/>
        </w:rPr>
        <w:t>$9–$10 billion non-oil export contribution from the South-West region alone by 2035</w:t>
      </w:r>
      <w:r>
        <w:rPr>
          <w:rFonts w:ascii="Calibri" w:hAnsi="Calibri"/>
          <w:color w:val="1E293B"/>
          <w:sz w:val="21"/>
        </w:rPr>
        <w:t xml:space="preserve"> (</w:t>
      </w:r>
      <w:hyperlink r:id="rId85">
        <w:r>
          <w:rPr>
            <w:rFonts w:ascii="Calibri" w:hAnsi="Calibri"/>
            <w:color w:val="B45309"/>
            <w:u w:val="single"/>
            <w:sz w:val="21"/>
          </w:rPr>
          <w:t>Bam Magazine</w:t>
        </w:r>
      </w:hyperlink>
      <w:r>
        <w:rPr>
          <w:rFonts w:ascii="Calibri" w:hAnsi="Calibri"/>
          <w:color w:val="1E293B"/>
          <w:sz w:val="21"/>
        </w:rPr>
        <w:t xml:space="preserve">). Yet small and medium-sized exporters (MSMEs) face a severe </w:t>
      </w:r>
      <w:r>
        <w:rPr>
          <w:rFonts w:ascii="Calibri" w:hAnsi="Calibri"/>
          <w:b/>
          <w:color w:val="1E293B"/>
          <w:sz w:val="21"/>
        </w:rPr>
        <w:t>information bottleneck</w:t>
      </w:r>
      <w:r>
        <w:rPr>
          <w:rFonts w:ascii="Calibri" w:hAnsi="Calibri"/>
          <w:color w:val="1E293B"/>
          <w:sz w:val="21"/>
        </w:rPr>
        <w:t>: navigating fragmented destination-market rules, tariff shifts, pre-shipment inspection mandates, and buyer specifications across dozens of countries.</w:t>
      </w:r>
    </w:p>
    <w:p>
      <w:pPr>
        <w:spacing w:before="60" w:after="120" w:line="276" w:lineRule="auto"/>
      </w:pPr>
      <w:r>
        <w:rPr>
          <w:rFonts w:ascii="Calibri" w:hAnsi="Calibri"/>
          <w:color w:val="1E293B"/>
          <w:sz w:val="21"/>
        </w:rPr>
        <w:t xml:space="preserve">Pilot 2 deploys the </w:t>
      </w:r>
      <w:r>
        <w:rPr>
          <w:rFonts w:ascii="Calibri" w:hAnsi="Calibri"/>
          <w:b/>
          <w:color w:val="1E293B"/>
          <w:sz w:val="21"/>
        </w:rPr>
        <w:t>Nigeria Export Trade Flows Second Brain</w:t>
      </w:r>
      <w:r>
        <w:rPr>
          <w:rFonts w:ascii="Calibri" w:hAnsi="Calibri"/>
          <w:color w:val="1E293B"/>
          <w:sz w:val="21"/>
        </w:rPr>
        <w:t xml:space="preserve"> (Version 1 codebase and seed data completed in October 2026) integrated with </w:t>
      </w:r>
      <w:r>
        <w:rPr>
          <w:rFonts w:ascii="Calibri" w:hAnsi="Calibri"/>
          <w:b/>
          <w:color w:val="1E293B"/>
          <w:sz w:val="21"/>
        </w:rPr>
        <w:t>ExportReady Africa</w:t>
      </w:r>
      <w:r>
        <w:rPr>
          <w:rFonts w:ascii="Calibri" w:hAnsi="Calibri"/>
          <w:color w:val="1E293B"/>
          <w:sz w:val="21"/>
        </w:rPr>
        <w:t xml:space="preserve"> (</w:t>
      </w:r>
      <w:hyperlink r:id="rId86">
        <w:r>
          <w:rPr>
            <w:rFonts w:ascii="Calibri" w:hAnsi="Calibri"/>
            <w:color w:val="B45309"/>
            <w:u w:val="single"/>
            <w:sz w:val="21"/>
          </w:rPr>
          <w:t>exportreadyafrica.com</w:t>
        </w:r>
      </w:hyperlink>
      <w:r>
        <w:rPr>
          <w:rFonts w:ascii="Calibri" w:hAnsi="Calibri"/>
          <w:color w:val="1E293B"/>
          <w:sz w:val="21"/>
        </w:rPr>
        <w:t xml:space="preserve">; </w:t>
      </w:r>
      <w:hyperlink r:id="rId87">
        <w:r>
          <w:rPr>
            <w:rFonts w:ascii="Calibri" w:hAnsi="Calibri"/>
            <w:color w:val="B45309"/>
            <w:u w:val="single"/>
            <w:sz w:val="21"/>
          </w:rPr>
          <w:t>About &amp; Frameworks</w:t>
        </w:r>
      </w:hyperlink>
      <w:r>
        <w:rPr>
          <w:rFonts w:ascii="Calibri" w:hAnsi="Calibri"/>
          <w:color w:val="1E293B"/>
          <w:sz w:val="21"/>
        </w:rPr>
        <w:t xml:space="preserve">) and its </w:t>
      </w:r>
      <w:r>
        <w:rPr>
          <w:rFonts w:ascii="Calibri" w:hAnsi="Calibri"/>
          <w:b/>
          <w:color w:val="1E293B"/>
          <w:sz w:val="21"/>
        </w:rPr>
        <w:t>Ada Navigator</w:t>
      </w:r>
      <w:r>
        <w:rPr>
          <w:rFonts w:ascii="Calibri" w:hAnsi="Calibri"/>
          <w:color w:val="1E293B"/>
          <w:sz w:val="21"/>
        </w:rPr>
        <w:t xml:space="preserve"> outcome engine under NEPC's </w:t>
      </w:r>
      <w:r>
        <w:rPr>
          <w:rFonts w:ascii="Calibri" w:hAnsi="Calibri"/>
          <w:b/>
          <w:color w:val="1E293B"/>
          <w:sz w:val="21"/>
        </w:rPr>
        <w:t>Export Business Development Service Provider (eBDSP)</w:t>
      </w:r>
      <w:r>
        <w:rPr>
          <w:rFonts w:ascii="Calibri" w:hAnsi="Calibri"/>
          <w:color w:val="1E293B"/>
          <w:sz w:val="21"/>
        </w:rPr>
        <w:t xml:space="preserve"> framework (</w:t>
      </w:r>
      <w:r>
        <w:rPr>
          <w:rFonts w:ascii="Consolas" w:hAnsi="Consolas"/>
          <w:b/>
          <w:color w:val="0A3D1F"/>
          <w:sz w:val="20"/>
        </w:rPr>
        <w:t>R1</w:t>
      </w:r>
      <w:r>
        <w:rPr>
          <w:rFonts w:ascii="Calibri" w:hAnsi="Calibri"/>
          <w:color w:val="1E293B"/>
          <w:sz w:val="21"/>
        </w:rPr>
        <w:t xml:space="preserve"> to </w:t>
      </w:r>
      <w:r>
        <w:rPr>
          <w:rFonts w:ascii="Consolas" w:hAnsi="Consolas"/>
          <w:b/>
          <w:color w:val="0A3D1F"/>
          <w:sz w:val="20"/>
        </w:rPr>
        <w:t>R5</w:t>
      </w:r>
      <w:r>
        <w:rPr>
          <w:rFonts w:ascii="Calibri" w:hAnsi="Calibri"/>
          <w:color w:val="1E293B"/>
          <w:sz w:val="21"/>
        </w:rPr>
        <w:t xml:space="preserve"> readiness stages: Product &amp; Quality -&gt; Traceability &amp; Compliance -&gt; Certification &amp; Processing Partner -&gt; Market Entry via Intermediaries -&gt; Service-Provider Route).</w:t>
      </w:r>
    </w:p>
    <w:p>
      <w:pPr>
        <w:keepNext/>
        <w:spacing w:before="220" w:after="80"/>
      </w:pPr>
      <w:r>
        <w:rPr>
          <w:rFonts w:ascii="Calibri" w:hAnsi="Calibri"/>
          <w:b/>
          <w:color w:val="0A3D1F"/>
          <w:sz w:val="23"/>
        </w:rPr>
        <w:t>B.2 Technical architecture of the Trade Flows Second Brain (Top 20 Pilot -&gt; 280 Products)</w:t>
      </w:r>
    </w:p>
    <w:p>
      <w:pPr>
        <w:spacing w:before="60" w:after="120" w:line="276" w:lineRule="auto"/>
      </w:pPr>
      <w:r>
        <w:rPr>
          <w:rFonts w:ascii="Calibri" w:hAnsi="Calibri"/>
          <w:color w:val="1E293B"/>
          <w:sz w:val="21"/>
        </w:rPr>
        <w:t>The pilot runs on a low-cost, automated data-collection and inference pipeline hosted on domestic naira-billed compute:</w:t>
      </w:r>
    </w:p>
    <w:p>
      <w:pPr>
        <w:spacing w:before="50" w:after="70"/>
        <w:ind w:left="360" w:hanging="360"/>
      </w:pPr>
      <w:r>
        <w:rPr>
          <w:rFonts w:ascii="Calibri" w:hAnsi="Calibri"/>
          <w:b/>
          <w:color w:val="0A3D1F"/>
          <w:sz w:val="20"/>
        </w:rPr>
        <w:t xml:space="preserve">1. </w:t>
      </w:r>
      <w:r>
        <w:rPr>
          <w:rFonts w:ascii="Calibri" w:hAnsi="Calibri"/>
          <w:b/>
          <w:color w:val="1E293B"/>
          <w:sz w:val="20"/>
        </w:rPr>
        <w:t>Structured Relational Trade &amp; Compliance Core (Supabase / PostgreSQL):</w:t>
      </w:r>
      <w:r>
        <w:rPr>
          <w:rFonts w:ascii="Calibri" w:hAnsi="Calibri"/>
          <w:color w:val="1E293B"/>
          <w:sz w:val="20"/>
        </w:rPr>
        <w:t xml:space="preserve"> Seeded in Phase 1 with Nigeria's </w:t>
      </w:r>
      <w:r>
        <w:rPr>
          <w:rFonts w:ascii="Calibri" w:hAnsi="Calibri"/>
          <w:b/>
          <w:color w:val="1E293B"/>
          <w:sz w:val="20"/>
        </w:rPr>
        <w:t>Top 20 non-oil export products</w:t>
      </w:r>
      <w:r>
        <w:rPr>
          <w:rFonts w:ascii="Calibri" w:hAnsi="Calibri"/>
          <w:color w:val="1E293B"/>
          <w:sz w:val="20"/>
        </w:rPr>
        <w:t xml:space="preserve"> (including cocoa beans [HS 1801], cocoa butter/paste, urea/fertilisers </w:t>
      </w:r>
      <w:hyperlink r:id="rId78">
        <w:r>
          <w:rPr>
            <w:rFonts w:ascii="Calibri" w:hAnsi="Calibri"/>
            <w:color w:val="B45309"/>
            <w:u w:val="single"/>
            <w:sz w:val="20"/>
          </w:rPr>
          <w:t>HS 3102, which hit NGN 1.37 trillion in Q1 2026 ([Arise News</w:t>
        </w:r>
      </w:hyperlink>
      <w:r>
        <w:rPr>
          <w:rFonts w:ascii="Calibri" w:hAnsi="Calibri"/>
          <w:color w:val="1E293B"/>
          <w:sz w:val="20"/>
        </w:rPr>
        <w:t xml:space="preserve">)], sesame seeds [HS 1207], cashew nuts [HS 0801], unwrought aluminium [HS 7601], natural rubber [HS 4001], soya beans, hibiscus/zobo, ginger, refined copper, and lithium/solid minerals) mapped across </w:t>
      </w:r>
      <w:r>
        <w:rPr>
          <w:rFonts w:ascii="Calibri" w:hAnsi="Calibri"/>
          <w:b/>
          <w:color w:val="1E293B"/>
          <w:sz w:val="20"/>
        </w:rPr>
        <w:t>37 destination markets, 108 product-country pairs, 223 historical flow records, 26 codified regulatory rules, and 23 institutional buyer categories</w:t>
      </w:r>
      <w:r>
        <w:rPr>
          <w:rFonts w:ascii="Calibri" w:hAnsi="Calibri"/>
          <w:color w:val="1E293B"/>
          <w:sz w:val="20"/>
        </w:rPr>
        <w:t xml:space="preserve"> (strictly excluding personal contact data in compliance with NDPA) (</w:t>
      </w:r>
      <w:hyperlink r:id="rId88">
        <w:r>
          <w:rPr>
            <w:rFonts w:ascii="Calibri" w:hAnsi="Calibri"/>
            <w:color w:val="B45309"/>
            <w:u w:val="single"/>
            <w:sz w:val="20"/>
          </w:rPr>
          <w:t>TrendEconomy Total</w:t>
        </w:r>
      </w:hyperlink>
      <w:r>
        <w:rPr>
          <w:rFonts w:ascii="Calibri" w:hAnsi="Calibri"/>
          <w:color w:val="1E293B"/>
          <w:sz w:val="20"/>
        </w:rPr>
        <w:t xml:space="preserve">; </w:t>
      </w:r>
      <w:hyperlink r:id="rId89">
        <w:r>
          <w:rPr>
            <w:rFonts w:ascii="Calibri" w:hAnsi="Calibri"/>
            <w:color w:val="B45309"/>
            <w:u w:val="single"/>
            <w:sz w:val="20"/>
          </w:rPr>
          <w:t>WITS Urea</w:t>
        </w:r>
      </w:hyperlink>
      <w:r>
        <w:rPr>
          <w:rFonts w:ascii="Calibri" w:hAnsi="Calibri"/>
          <w:color w:val="1E293B"/>
          <w:sz w:val="20"/>
        </w:rPr>
        <w:t>).</w:t>
      </w:r>
    </w:p>
    <w:p>
      <w:pPr>
        <w:spacing w:before="50" w:after="70"/>
        <w:ind w:left="360" w:hanging="360"/>
      </w:pPr>
      <w:r>
        <w:rPr>
          <w:rFonts w:ascii="Calibri" w:hAnsi="Calibri"/>
          <w:b/>
          <w:color w:val="0A3D1F"/>
          <w:sz w:val="20"/>
        </w:rPr>
        <w:t xml:space="preserve">2. </w:t>
      </w:r>
      <w:r>
        <w:rPr>
          <w:rFonts w:ascii="Calibri" w:hAnsi="Calibri"/>
          <w:b/>
          <w:color w:val="1E293B"/>
          <w:sz w:val="20"/>
        </w:rPr>
        <w:t>Automated Scheduled Collectors (Not Hallucinated Web Search):</w:t>
      </w:r>
    </w:p>
    <w:p>
      <w:pPr>
        <w:pStyle w:val="ListBullet"/>
        <w:spacing w:before="40" w:after="60"/>
      </w:pPr>
      <w:r>
        <w:rPr>
          <w:rFonts w:ascii="Calibri" w:hAnsi="Calibri"/>
          <w:b/>
          <w:color w:val="1E293B"/>
          <w:sz w:val="20"/>
        </w:rPr>
        <w:t>Monthly Trade Flow Collector (`comtrade_collector.py`):</w:t>
      </w:r>
      <w:r>
        <w:rPr>
          <w:rFonts w:ascii="Calibri" w:hAnsi="Calibri"/>
          <w:color w:val="1E293B"/>
          <w:sz w:val="20"/>
        </w:rPr>
        <w:t xml:space="preserve"> Pulls bilateral volume, value, unit-value, and partner mirror statistics from the </w:t>
      </w:r>
      <w:r>
        <w:rPr>
          <w:rFonts w:ascii="Calibri" w:hAnsi="Calibri"/>
          <w:b/>
          <w:color w:val="1E293B"/>
          <w:sz w:val="20"/>
        </w:rPr>
        <w:t>UN Comtrade API</w:t>
      </w:r>
      <w:r>
        <w:rPr>
          <w:rFonts w:ascii="Calibri" w:hAnsi="Calibri"/>
          <w:color w:val="1E293B"/>
          <w:sz w:val="20"/>
        </w:rPr>
        <w:t>, computing compound annual growth trajectories and flagging fast-rising destination pairs (e.g., Nigerian cocoa exports to the US surging to $142M in 2025 (</w:t>
      </w:r>
      <w:hyperlink r:id="rId90">
        <w:r>
          <w:rPr>
            <w:rFonts w:ascii="Calibri" w:hAnsi="Calibri"/>
            <w:color w:val="B45309"/>
            <w:u w:val="single"/>
            <w:sz w:val="20"/>
          </w:rPr>
          <w:t>Premium Times</w:t>
        </w:r>
      </w:hyperlink>
      <w:r>
        <w:rPr>
          <w:rFonts w:ascii="Calibri" w:hAnsi="Calibri"/>
          <w:color w:val="1E293B"/>
          <w:sz w:val="20"/>
        </w:rPr>
        <w:t>) or Netherlands reaching $961.6M (</w:t>
      </w:r>
      <w:hyperlink r:id="rId79">
        <w:r>
          <w:rPr>
            <w:rFonts w:ascii="Calibri" w:hAnsi="Calibri"/>
            <w:color w:val="B45309"/>
            <w:u w:val="single"/>
            <w:sz w:val="20"/>
          </w:rPr>
          <w:t>Trading Economics NL</w:t>
        </w:r>
      </w:hyperlink>
      <w:r>
        <w:rPr>
          <w:rFonts w:ascii="Calibri" w:hAnsi="Calibri"/>
          <w:color w:val="1E293B"/>
          <w:sz w:val="20"/>
        </w:rPr>
        <w:t>)).</w:t>
      </w:r>
    </w:p>
    <w:p>
      <w:pPr>
        <w:pStyle w:val="ListBullet"/>
        <w:spacing w:before="40" w:after="60"/>
      </w:pPr>
      <w:r>
        <w:rPr>
          <w:rFonts w:ascii="Calibri" w:hAnsi="Calibri"/>
          <w:b/>
          <w:color w:val="1E293B"/>
          <w:sz w:val="20"/>
        </w:rPr>
        <w:t>Daily Sanitary, Phytosanitary &amp; Tariff Rule Collector (`eping_collector.py` &amp; `news_rss_collector.py`):</w:t>
      </w:r>
      <w:r>
        <w:rPr>
          <w:rFonts w:ascii="Calibri" w:hAnsi="Calibri"/>
          <w:color w:val="1E293B"/>
          <w:sz w:val="20"/>
        </w:rPr>
        <w:t xml:space="preserve"> Scans </w:t>
      </w:r>
      <w:r>
        <w:rPr>
          <w:rFonts w:ascii="Calibri" w:hAnsi="Calibri"/>
          <w:b/>
          <w:color w:val="1E293B"/>
          <w:sz w:val="20"/>
        </w:rPr>
        <w:t>WTO ePing</w:t>
      </w:r>
      <w:r>
        <w:rPr>
          <w:rFonts w:ascii="Calibri" w:hAnsi="Calibri"/>
          <w:color w:val="1E293B"/>
          <w:sz w:val="20"/>
        </w:rPr>
        <w:t xml:space="preserve"> notifications, EU Access2Markets, US Federal Register notices, and trade feeds every morning—tracking live compliance shifts such as:</w:t>
      </w:r>
    </w:p>
    <w:p>
      <w:pPr>
        <w:pStyle w:val="ListBullet"/>
        <w:spacing w:before="40" w:after="60"/>
      </w:pPr>
      <w:r>
        <w:rPr>
          <w:rFonts w:ascii="Calibri" w:hAnsi="Calibri"/>
          <w:b/>
          <w:color w:val="1E293B"/>
          <w:sz w:val="20"/>
        </w:rPr>
        <w:t>EU:</w:t>
      </w:r>
      <w:r>
        <w:rPr>
          <w:rFonts w:ascii="Calibri" w:hAnsi="Calibri"/>
          <w:color w:val="1E293B"/>
          <w:sz w:val="20"/>
        </w:rPr>
        <w:t xml:space="preserve"> EUDR geolocation rules (</w:t>
      </w:r>
      <w:r>
        <w:rPr>
          <w:rFonts w:ascii="Consolas" w:hAnsi="Consolas"/>
          <w:b/>
          <w:color w:val="0A3D1F"/>
          <w:sz w:val="19"/>
        </w:rPr>
        <w:t>EU-01</w:t>
      </w:r>
      <w:r>
        <w:rPr>
          <w:rFonts w:ascii="Calibri" w:hAnsi="Calibri"/>
          <w:color w:val="1E293B"/>
          <w:sz w:val="20"/>
        </w:rPr>
        <w:t>), EU Carbon Border Adjustment Mechanism (</w:t>
      </w:r>
      <w:r>
        <w:rPr>
          <w:rFonts w:ascii="Consolas" w:hAnsi="Consolas"/>
          <w:b/>
          <w:color w:val="0A3D1F"/>
          <w:sz w:val="19"/>
        </w:rPr>
        <w:t>EU-02</w:t>
      </w:r>
      <w:r>
        <w:rPr>
          <w:rFonts w:ascii="Calibri" w:hAnsi="Calibri"/>
          <w:color w:val="1E293B"/>
          <w:sz w:val="20"/>
        </w:rPr>
        <w:t xml:space="preserve"> for urea, aluminium, cement (</w:t>
      </w:r>
      <w:hyperlink r:id="rId91">
        <w:r>
          <w:rPr>
            <w:rFonts w:ascii="Calibri" w:hAnsi="Calibri"/>
            <w:color w:val="B45309"/>
            <w:u w:val="single"/>
            <w:sz w:val="20"/>
          </w:rPr>
          <w:t>HSF Kramer</w:t>
        </w:r>
      </w:hyperlink>
      <w:r>
        <w:rPr>
          <w:rFonts w:ascii="Calibri" w:hAnsi="Calibri"/>
          <w:color w:val="1E293B"/>
          <w:sz w:val="20"/>
        </w:rPr>
        <w:t>)), pesticide MRL border checks (</w:t>
      </w:r>
      <w:r>
        <w:rPr>
          <w:rFonts w:ascii="Consolas" w:hAnsi="Consolas"/>
          <w:b/>
          <w:color w:val="0A3D1F"/>
          <w:sz w:val="19"/>
        </w:rPr>
        <w:t>EU-03</w:t>
      </w:r>
      <w:r>
        <w:rPr>
          <w:rFonts w:ascii="Calibri" w:hAnsi="Calibri"/>
          <w:color w:val="1E293B"/>
          <w:sz w:val="20"/>
        </w:rPr>
        <w:t>/</w:t>
      </w:r>
      <w:r>
        <w:rPr>
          <w:rFonts w:ascii="Consolas" w:hAnsi="Consolas"/>
          <w:b/>
          <w:color w:val="0A3D1F"/>
          <w:sz w:val="19"/>
        </w:rPr>
        <w:t>EU-04</w:t>
      </w:r>
      <w:r>
        <w:rPr>
          <w:rFonts w:ascii="Calibri" w:hAnsi="Calibri"/>
          <w:color w:val="1E293B"/>
          <w:sz w:val="20"/>
        </w:rPr>
        <w:t xml:space="preserve"> (</w:t>
      </w:r>
      <w:hyperlink r:id="rId83">
        <w:r>
          <w:rPr>
            <w:rFonts w:ascii="Calibri" w:hAnsi="Calibri"/>
            <w:color w:val="B45309"/>
            <w:u w:val="single"/>
            <w:sz w:val="20"/>
          </w:rPr>
          <w:t>Lovguiden</w:t>
        </w:r>
      </w:hyperlink>
      <w:r>
        <w:rPr>
          <w:rFonts w:ascii="Calibri" w:hAnsi="Calibri"/>
          <w:color w:val="1E293B"/>
          <w:sz w:val="20"/>
        </w:rPr>
        <w:t>)).</w:t>
      </w:r>
    </w:p>
    <w:p>
      <w:pPr>
        <w:pStyle w:val="ListBullet"/>
        <w:spacing w:before="40" w:after="60"/>
      </w:pPr>
      <w:r>
        <w:rPr>
          <w:rFonts w:ascii="Calibri" w:hAnsi="Calibri"/>
          <w:b/>
          <w:color w:val="1E293B"/>
          <w:sz w:val="20"/>
        </w:rPr>
        <w:t>United States:</w:t>
      </w:r>
      <w:r>
        <w:rPr>
          <w:rFonts w:ascii="Calibri" w:hAnsi="Calibri"/>
          <w:color w:val="1E293B"/>
          <w:sz w:val="20"/>
        </w:rPr>
        <w:t xml:space="preserve"> The 24 July 2026 12.5% Section 301 tariff notice (</w:t>
      </w:r>
      <w:r>
        <w:rPr>
          <w:rFonts w:ascii="Consolas" w:hAnsi="Consolas"/>
          <w:b/>
          <w:color w:val="0A3D1F"/>
          <w:sz w:val="19"/>
        </w:rPr>
        <w:t>US-01</w:t>
      </w:r>
      <w:r>
        <w:rPr>
          <w:rFonts w:ascii="Calibri" w:hAnsi="Calibri"/>
          <w:color w:val="1E293B"/>
          <w:sz w:val="20"/>
        </w:rPr>
        <w:t xml:space="preserve"> (</w:t>
      </w:r>
      <w:hyperlink r:id="rId92">
        <w:r>
          <w:rPr>
            <w:rFonts w:ascii="Calibri" w:hAnsi="Calibri"/>
            <w:color w:val="B45309"/>
            <w:u w:val="single"/>
            <w:sz w:val="20"/>
          </w:rPr>
          <w:t>PM News</w:t>
        </w:r>
      </w:hyperlink>
      <w:r>
        <w:rPr>
          <w:rFonts w:ascii="Calibri" w:hAnsi="Calibri"/>
          <w:color w:val="1E293B"/>
          <w:sz w:val="20"/>
        </w:rPr>
        <w:t xml:space="preserve">; </w:t>
      </w:r>
      <w:hyperlink r:id="rId93">
        <w:r>
          <w:rPr>
            <w:rFonts w:ascii="Calibri" w:hAnsi="Calibri"/>
            <w:color w:val="B45309"/>
            <w:u w:val="single"/>
            <w:sz w:val="20"/>
          </w:rPr>
          <w:t>Federal Register</w:t>
        </w:r>
      </w:hyperlink>
      <w:r>
        <w:rPr>
          <w:rFonts w:ascii="Calibri" w:hAnsi="Calibri"/>
          <w:color w:val="1E293B"/>
          <w:sz w:val="20"/>
        </w:rPr>
        <w:t>)), agricultural reciprocal tariff exemptions (</w:t>
      </w:r>
      <w:hyperlink r:id="rId94">
        <w:r>
          <w:rPr>
            <w:rFonts w:ascii="Calibri" w:hAnsi="Calibri"/>
            <w:color w:val="B45309"/>
            <w:u w:val="single"/>
            <w:sz w:val="20"/>
          </w:rPr>
          <w:t>KPMG US</w:t>
        </w:r>
      </w:hyperlink>
      <w:r>
        <w:rPr>
          <w:rFonts w:ascii="Calibri" w:hAnsi="Calibri"/>
          <w:color w:val="1E293B"/>
          <w:sz w:val="20"/>
        </w:rPr>
        <w:t>), AGOA eligibility (</w:t>
      </w:r>
      <w:r>
        <w:rPr>
          <w:rFonts w:ascii="Consolas" w:hAnsi="Consolas"/>
          <w:b/>
          <w:color w:val="0A3D1F"/>
          <w:sz w:val="19"/>
        </w:rPr>
        <w:t>US-02</w:t>
      </w:r>
      <w:r>
        <w:rPr>
          <w:rFonts w:ascii="Calibri" w:hAnsi="Calibri"/>
          <w:color w:val="1E293B"/>
          <w:sz w:val="20"/>
        </w:rPr>
        <w:t xml:space="preserve"> (</w:t>
      </w:r>
      <w:hyperlink r:id="rId95">
        <w:r>
          <w:rPr>
            <w:rFonts w:ascii="Calibri" w:hAnsi="Calibri"/>
            <w:color w:val="B45309"/>
            <w:u w:val="single"/>
            <w:sz w:val="20"/>
          </w:rPr>
          <w:t>EveryCRSReport</w:t>
        </w:r>
      </w:hyperlink>
      <w:r>
        <w:rPr>
          <w:rFonts w:ascii="Calibri" w:hAnsi="Calibri"/>
          <w:color w:val="1E293B"/>
          <w:sz w:val="20"/>
        </w:rPr>
        <w:t>)), Section 232 metals rules (</w:t>
      </w:r>
      <w:hyperlink r:id="rId96">
        <w:r>
          <w:rPr>
            <w:rFonts w:ascii="Calibri" w:hAnsi="Calibri"/>
            <w:color w:val="B45309"/>
            <w:u w:val="single"/>
            <w:sz w:val="20"/>
          </w:rPr>
          <w:t>AEC</w:t>
        </w:r>
      </w:hyperlink>
      <w:r>
        <w:rPr>
          <w:rFonts w:ascii="Calibri" w:hAnsi="Calibri"/>
          <w:color w:val="1E293B"/>
          <w:sz w:val="20"/>
        </w:rPr>
        <w:t xml:space="preserve">), and biennial </w:t>
      </w:r>
      <w:r>
        <w:rPr>
          <w:rFonts w:ascii="Calibri" w:hAnsi="Calibri"/>
          <w:b/>
          <w:color w:val="1E293B"/>
          <w:sz w:val="20"/>
        </w:rPr>
        <w:t>US FDA food facility registration renewal due 31 December 2026</w:t>
      </w:r>
      <w:r>
        <w:rPr>
          <w:rFonts w:ascii="Calibri" w:hAnsi="Calibri"/>
          <w:color w:val="1E293B"/>
          <w:sz w:val="20"/>
        </w:rPr>
        <w:t xml:space="preserve"> (</w:t>
      </w:r>
      <w:r>
        <w:rPr>
          <w:rFonts w:ascii="Consolas" w:hAnsi="Consolas"/>
          <w:b/>
          <w:color w:val="0A3D1F"/>
          <w:sz w:val="19"/>
        </w:rPr>
        <w:t>US-05</w:t>
      </w:r>
      <w:r>
        <w:rPr>
          <w:rFonts w:ascii="Calibri" w:hAnsi="Calibri"/>
          <w:color w:val="1E293B"/>
          <w:sz w:val="20"/>
        </w:rPr>
        <w:t xml:space="preserve"> (</w:t>
      </w:r>
      <w:hyperlink r:id="rId97">
        <w:r>
          <w:rPr>
            <w:rFonts w:ascii="Calibri" w:hAnsi="Calibri"/>
            <w:color w:val="B45309"/>
            <w:u w:val="single"/>
            <w:sz w:val="20"/>
          </w:rPr>
          <w:t>US FDA</w:t>
        </w:r>
      </w:hyperlink>
      <w:r>
        <w:rPr>
          <w:rFonts w:ascii="Calibri" w:hAnsi="Calibri"/>
          <w:color w:val="1E293B"/>
          <w:sz w:val="20"/>
        </w:rPr>
        <w:t>)).</w:t>
      </w:r>
    </w:p>
    <w:p>
      <w:pPr>
        <w:pStyle w:val="ListBullet"/>
        <w:spacing w:before="40" w:after="60"/>
      </w:pPr>
      <w:r>
        <w:rPr>
          <w:rFonts w:ascii="Calibri" w:hAnsi="Calibri"/>
          <w:b/>
          <w:color w:val="1E293B"/>
          <w:sz w:val="20"/>
        </w:rPr>
        <w:t>China, UK &amp; AfCFTA:</w:t>
      </w:r>
      <w:r>
        <w:rPr>
          <w:rFonts w:ascii="Calibri" w:hAnsi="Calibri"/>
          <w:color w:val="1E293B"/>
          <w:sz w:val="20"/>
        </w:rPr>
        <w:t xml:space="preserve"> China's zero-tariff treatment for African diplomatic partners effective 1 May 2026–30 April 2028 (</w:t>
      </w:r>
      <w:r>
        <w:rPr>
          <w:rFonts w:ascii="Consolas" w:hAnsi="Consolas"/>
          <w:b/>
          <w:color w:val="0A3D1F"/>
          <w:sz w:val="19"/>
        </w:rPr>
        <w:t>CN-01</w:t>
      </w:r>
      <w:r>
        <w:rPr>
          <w:rFonts w:ascii="Calibri" w:hAnsi="Calibri"/>
          <w:color w:val="1E293B"/>
          <w:sz w:val="20"/>
        </w:rPr>
        <w:t xml:space="preserve"> (</w:t>
      </w:r>
      <w:hyperlink r:id="rId98">
        <w:r>
          <w:rPr>
            <w:rFonts w:ascii="Calibri" w:hAnsi="Calibri"/>
            <w:color w:val="B45309"/>
            <w:u w:val="single"/>
            <w:sz w:val="20"/>
          </w:rPr>
          <w:t>Shanghai Gov</w:t>
        </w:r>
      </w:hyperlink>
      <w:r>
        <w:rPr>
          <w:rFonts w:ascii="Calibri" w:hAnsi="Calibri"/>
          <w:color w:val="1E293B"/>
          <w:sz w:val="20"/>
        </w:rPr>
        <w:t>)) paired with GACC Decree 280 overseas food manufacturer registration (</w:t>
      </w:r>
      <w:r>
        <w:rPr>
          <w:rFonts w:ascii="Consolas" w:hAnsi="Consolas"/>
          <w:b/>
          <w:color w:val="0A3D1F"/>
          <w:sz w:val="19"/>
        </w:rPr>
        <w:t>CN-02</w:t>
      </w:r>
      <w:r>
        <w:rPr>
          <w:rFonts w:ascii="Calibri" w:hAnsi="Calibri"/>
          <w:color w:val="1E293B"/>
          <w:sz w:val="20"/>
        </w:rPr>
        <w:t xml:space="preserve"> (</w:t>
      </w:r>
      <w:hyperlink r:id="rId99">
        <w:r>
          <w:rPr>
            <w:rFonts w:ascii="Calibri" w:hAnsi="Calibri"/>
            <w:color w:val="B45309"/>
            <w:u w:val="single"/>
            <w:sz w:val="20"/>
          </w:rPr>
          <w:t>China Briefing</w:t>
        </w:r>
      </w:hyperlink>
      <w:r>
        <w:rPr>
          <w:rFonts w:ascii="Calibri" w:hAnsi="Calibri"/>
          <w:color w:val="1E293B"/>
          <w:sz w:val="20"/>
        </w:rPr>
        <w:t>)); the UK Developing Countries Trading Scheme (</w:t>
      </w:r>
      <w:r>
        <w:rPr>
          <w:rFonts w:ascii="Consolas" w:hAnsi="Consolas"/>
          <w:b/>
          <w:color w:val="0A3D1F"/>
          <w:sz w:val="19"/>
        </w:rPr>
        <w:t>UK-01</w:t>
      </w:r>
      <w:r>
        <w:rPr>
          <w:rFonts w:ascii="Calibri" w:hAnsi="Calibri"/>
          <w:color w:val="1E293B"/>
          <w:sz w:val="20"/>
        </w:rPr>
        <w:t>, 99% duty-free access (</w:t>
      </w:r>
      <w:hyperlink r:id="rId100">
        <w:r>
          <w:rPr>
            <w:rFonts w:ascii="Calibri" w:hAnsi="Calibri"/>
            <w:color w:val="B45309"/>
            <w:u w:val="single"/>
            <w:sz w:val="20"/>
          </w:rPr>
          <w:t>africa.com</w:t>
        </w:r>
      </w:hyperlink>
      <w:r>
        <w:rPr>
          <w:rFonts w:ascii="Calibri" w:hAnsi="Calibri"/>
          <w:color w:val="1E293B"/>
          <w:sz w:val="20"/>
        </w:rPr>
        <w:t>)); AfCFTA Rules of Origin (</w:t>
      </w:r>
      <w:r>
        <w:rPr>
          <w:rFonts w:ascii="Consolas" w:hAnsi="Consolas"/>
          <w:b/>
          <w:color w:val="0A3D1F"/>
          <w:sz w:val="19"/>
        </w:rPr>
        <w:t>AF-01</w:t>
      </w:r>
      <w:r>
        <w:rPr>
          <w:rFonts w:ascii="Calibri" w:hAnsi="Calibri"/>
          <w:color w:val="1E293B"/>
          <w:sz w:val="20"/>
        </w:rPr>
        <w:t xml:space="preserve"> (</w:t>
      </w:r>
      <w:hyperlink r:id="rId101">
        <w:r>
          <w:rPr>
            <w:rFonts w:ascii="Calibri" w:hAnsi="Calibri"/>
            <w:color w:val="B45309"/>
            <w:u w:val="single"/>
            <w:sz w:val="20"/>
          </w:rPr>
          <w:t>AfCFTA RoO</w:t>
        </w:r>
      </w:hyperlink>
      <w:r>
        <w:rPr>
          <w:rFonts w:ascii="Calibri" w:hAnsi="Calibri"/>
          <w:color w:val="1E293B"/>
          <w:sz w:val="20"/>
        </w:rPr>
        <w:t>)); and Nigeria's value-addition policy on raw solid minerals (</w:t>
      </w:r>
      <w:hyperlink r:id="rId102">
        <w:r>
          <w:rPr>
            <w:rFonts w:ascii="Calibri" w:hAnsi="Calibri"/>
            <w:color w:val="B45309"/>
            <w:u w:val="single"/>
            <w:sz w:val="20"/>
          </w:rPr>
          <w:t>Prime Business Africa</w:t>
        </w:r>
      </w:hyperlink>
      <w:r>
        <w:rPr>
          <w:rFonts w:ascii="Calibri" w:hAnsi="Calibri"/>
          <w:color w:val="1E293B"/>
          <w:sz w:val="20"/>
        </w:rPr>
        <w:t>).</w:t>
      </w:r>
    </w:p>
    <w:p>
      <w:pPr>
        <w:spacing w:before="50" w:after="70"/>
        <w:ind w:left="360" w:hanging="360"/>
      </w:pPr>
      <w:r>
        <w:rPr>
          <w:rFonts w:ascii="Calibri" w:hAnsi="Calibri"/>
          <w:b/>
          <w:color w:val="0A3D1F"/>
          <w:sz w:val="20"/>
        </w:rPr>
        <w:t xml:space="preserve">3. </w:t>
      </w:r>
      <w:r>
        <w:rPr>
          <w:rFonts w:ascii="Calibri" w:hAnsi="Calibri"/>
          <w:b/>
          <w:color w:val="1E293B"/>
          <w:sz w:val="20"/>
        </w:rPr>
        <w:t>Low-Friction SME Delivery (Telegram &amp; WhatsApp ClusterBots + 06:45 WAT Alerts):</w:t>
      </w:r>
    </w:p>
    <w:p>
      <w:pPr>
        <w:spacing w:before="60" w:after="120" w:line="276" w:lineRule="auto"/>
      </w:pPr>
      <w:r>
        <w:rPr>
          <w:rFonts w:ascii="Calibri" w:hAnsi="Calibri"/>
          <w:color w:val="1E293B"/>
          <w:sz w:val="21"/>
        </w:rPr>
        <w:t xml:space="preserve">Small businesses do not browse complex dashboards. Through a zero-friction </w:t>
      </w:r>
      <w:r>
        <w:rPr>
          <w:rFonts w:ascii="Calibri" w:hAnsi="Calibri"/>
          <w:b/>
          <w:color w:val="1E293B"/>
          <w:sz w:val="21"/>
        </w:rPr>
        <w:t>Telegram and WhatsApp bot</w:t>
      </w:r>
      <w:r>
        <w:rPr>
          <w:rFonts w:ascii="Calibri" w:hAnsi="Calibri"/>
          <w:color w:val="1E293B"/>
          <w:sz w:val="21"/>
        </w:rPr>
        <w:t xml:space="preserve"> (accepting local names such as </w:t>
      </w:r>
      <w:r>
        <w:rPr>
          <w:rFonts w:ascii="Calibri" w:hAnsi="Calibri"/>
          <w:i/>
          <w:color w:val="1E293B"/>
          <w:sz w:val="21"/>
        </w:rPr>
        <w:t>"beniseed"</w:t>
      </w:r>
      <w:r>
        <w:rPr>
          <w:rFonts w:ascii="Calibri" w:hAnsi="Calibri"/>
          <w:color w:val="1E293B"/>
          <w:sz w:val="21"/>
        </w:rPr>
        <w:t xml:space="preserve"> for sesame or </w:t>
      </w:r>
      <w:r>
        <w:rPr>
          <w:rFonts w:ascii="Calibri" w:hAnsi="Calibri"/>
          <w:i/>
          <w:color w:val="1E293B"/>
          <w:sz w:val="21"/>
        </w:rPr>
        <w:t>"zobo"</w:t>
      </w:r>
      <w:r>
        <w:rPr>
          <w:rFonts w:ascii="Calibri" w:hAnsi="Calibri"/>
          <w:color w:val="1E293B"/>
          <w:sz w:val="21"/>
        </w:rPr>
        <w:t xml:space="preserve"> for hibiscus), an SME exporter taps their product to receive a one-page </w:t>
      </w:r>
      <w:r>
        <w:rPr>
          <w:rFonts w:ascii="Calibri" w:hAnsi="Calibri"/>
          <w:b/>
          <w:color w:val="1E293B"/>
          <w:sz w:val="21"/>
        </w:rPr>
        <w:t>Product Scorecard</w:t>
      </w:r>
      <w:r>
        <w:rPr>
          <w:rFonts w:ascii="Calibri" w:hAnsi="Calibri"/>
          <w:color w:val="1E293B"/>
          <w:sz w:val="21"/>
        </w:rPr>
        <w:t xml:space="preserve">, a destination </w:t>
      </w:r>
      <w:r>
        <w:rPr>
          <w:rFonts w:ascii="Calibri" w:hAnsi="Calibri"/>
          <w:b/>
          <w:color w:val="1E293B"/>
          <w:sz w:val="21"/>
        </w:rPr>
        <w:t>Pre-Shipment Compliance Checklist</w:t>
      </w:r>
      <w:r>
        <w:rPr>
          <w:rFonts w:ascii="Calibri" w:hAnsi="Calibri"/>
          <w:color w:val="1E293B"/>
          <w:sz w:val="21"/>
        </w:rPr>
        <w:t xml:space="preserve"> (covering NEPC registration, NXP form, NAQS phytosanitary booking, and destination rules), buyer-category profiles, and </w:t>
      </w:r>
      <w:r>
        <w:rPr>
          <w:rFonts w:ascii="Calibri" w:hAnsi="Calibri"/>
          <w:b/>
          <w:color w:val="1E293B"/>
          <w:sz w:val="21"/>
        </w:rPr>
        <w:t>06:45 WAT morning alerts</w:t>
      </w:r>
      <w:r>
        <w:rPr>
          <w:rFonts w:ascii="Calibri" w:hAnsi="Calibri"/>
          <w:color w:val="1E293B"/>
          <w:sz w:val="21"/>
        </w:rPr>
        <w:t xml:space="preserve"> whenever a tariff or SPS rule changes for their subscribed product. Every AI answer is strictly grounded in verified database rows with explicit source codes—never unverified generative speculation.</w:t>
      </w:r>
    </w:p>
    <w:p>
      <w:pPr>
        <w:keepNext/>
        <w:spacing w:before="220" w:after="80"/>
      </w:pPr>
      <w:r>
        <w:rPr>
          <w:rFonts w:ascii="Calibri" w:hAnsi="Calibri"/>
          <w:b/>
          <w:color w:val="B45309"/>
          <w:sz w:val="23"/>
        </w:rPr>
        <w:t>Table 19: Annex B Pilot Two-Stage Scoreboard Metrics (Audited on Public Ledger)</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3360"/>
        <w:gridCol w:w="3360"/>
        <w:gridCol w:w="3360"/>
      </w:tblGrid>
      <w:tr>
        <w:trPr>
          <w:tblHeader/>
          <w:cantSplit/>
        </w:trPr>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Evaluation Stage</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Specific Metric Audited</w:t>
            </w:r>
          </w:p>
        </w:tc>
        <w:tc>
          <w:tcPr>
            <w:tcW w:type="dxa" w:w="3360"/>
            <w:vAlign w:val="center"/>
            <w:shd w:fill="0A3D1F"/>
            <w:tcMar>
              <w:top w:w="110" w:type="dxa"/>
              <w:bottom w:w="110" w:type="dxa"/>
              <w:left w:w="110" w:type="dxa"/>
              <w:right w:w="110" w:type="dxa"/>
            </w:tcMar>
          </w:tcPr>
          <w:p>
            <w:pPr>
              <w:spacing w:before="20" w:after="20"/>
            </w:pPr>
            <w:r>
              <w:rPr>
                <w:rFonts w:ascii="Calibri" w:hAnsi="Calibri"/>
                <w:b/>
                <w:color w:val="FFFFFF"/>
                <w:sz w:val="18"/>
              </w:rPr>
              <w:t>Phase 1 Target (6-Month Pilot)</w:t>
            </w:r>
          </w:p>
        </w:tc>
      </w:tr>
      <w:tr>
        <w:trPr>
          <w:cantSplit/>
        </w:trPr>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Stage 1: Quarterly Operational Gate</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Audited Cost per Verified Export Advisory / Checklist Resolution (NGN)</w:t>
            </w:r>
            <w:r>
              <w:rPr>
                <w:rFonts w:ascii="Calibri" w:hAnsi="Calibri"/>
                <w:color w:val="1E293B"/>
                <w:sz w:val="17"/>
              </w:rPr>
              <w:t>, verified against source-linked rule codes (</w:t>
            </w:r>
            <w:r>
              <w:rPr>
                <w:rFonts w:ascii="Consolas" w:hAnsi="Consolas"/>
                <w:b/>
                <w:color w:val="0A3D1F"/>
                <w:sz w:val="16"/>
              </w:rPr>
              <w:t>EU-01</w:t>
            </w:r>
            <w:r>
              <w:rPr>
                <w:rFonts w:ascii="Calibri" w:hAnsi="Calibri"/>
                <w:color w:val="1E293B"/>
                <w:sz w:val="17"/>
              </w:rPr>
              <w:t xml:space="preserve">, </w:t>
            </w:r>
            <w:r>
              <w:rPr>
                <w:rFonts w:ascii="Consolas" w:hAnsi="Consolas"/>
                <w:b/>
                <w:color w:val="0A3D1F"/>
                <w:sz w:val="16"/>
              </w:rPr>
              <w:t>US-05</w:t>
            </w:r>
            <w:r>
              <w:rPr>
                <w:rFonts w:ascii="Calibri" w:hAnsi="Calibri"/>
                <w:color w:val="1E293B"/>
                <w:sz w:val="17"/>
              </w:rPr>
              <w:t xml:space="preserve">, </w:t>
            </w:r>
            <w:r>
              <w:rPr>
                <w:rFonts w:ascii="Consolas" w:hAnsi="Consolas"/>
                <w:b/>
                <w:color w:val="0A3D1F"/>
                <w:sz w:val="16"/>
              </w:rPr>
              <w:t>CN-02</w:t>
            </w:r>
            <w:r>
              <w:rPr>
                <w:rFonts w:ascii="Calibri" w:hAnsi="Calibri"/>
                <w:color w:val="1E293B"/>
                <w:sz w:val="17"/>
              </w:rPr>
              <w:t xml:space="preserve">, </w:t>
            </w:r>
            <w:r>
              <w:rPr>
                <w:rFonts w:ascii="Consolas" w:hAnsi="Consolas"/>
                <w:b/>
                <w:color w:val="0A3D1F"/>
                <w:sz w:val="16"/>
              </w:rPr>
              <w:t>NG-01</w:t>
            </w:r>
            <w:r>
              <w:rPr>
                <w:rFonts w:ascii="Calibri" w:hAnsi="Calibri"/>
                <w:color w:val="1E293B"/>
                <w:sz w:val="17"/>
              </w:rPr>
              <w:t>) with zero hallucinated tariff rates.</w:t>
            </w:r>
          </w:p>
        </w:tc>
        <w:tc>
          <w:tcPr>
            <w:tcW w:type="dxa" w:w="3360"/>
            <w:vAlign w:val="top"/>
            <w:shd w:fill="FFFFFF"/>
            <w:tcMar>
              <w:top w:w="85" w:type="dxa"/>
              <w:bottom w:w="85" w:type="dxa"/>
              <w:left w:w="105" w:type="dxa"/>
              <w:right w:w="105" w:type="dxa"/>
            </w:tcMar>
          </w:tcPr>
          <w:p>
            <w:pPr>
              <w:spacing w:before="20" w:after="20"/>
            </w:pPr>
            <w:r>
              <w:rPr>
                <w:rFonts w:ascii="Calibri" w:hAnsi="Calibri"/>
                <w:b/>
                <w:color w:val="1E293B"/>
                <w:sz w:val="17"/>
              </w:rPr>
              <w:t>&lt;NGN 100 per verified SME checklist/query</w:t>
            </w:r>
            <w:r>
              <w:rPr>
                <w:rFonts w:ascii="Calibri" w:hAnsi="Calibri"/>
                <w:color w:val="1E293B"/>
                <w:sz w:val="17"/>
              </w:rPr>
              <w:t xml:space="preserve">; </w:t>
            </w:r>
            <w:r>
              <w:rPr>
                <w:rFonts w:ascii="Calibri" w:hAnsi="Calibri"/>
                <w:b/>
                <w:color w:val="1E293B"/>
                <w:sz w:val="17"/>
              </w:rPr>
              <w:t>100% citation accuracy</w:t>
            </w:r>
            <w:r>
              <w:rPr>
                <w:rFonts w:ascii="Calibri" w:hAnsi="Calibri"/>
                <w:color w:val="1E293B"/>
                <w:sz w:val="17"/>
              </w:rPr>
              <w:t xml:space="preserve"> against official portal rules on weekly officer audits.</w:t>
            </w:r>
          </w:p>
        </w:tc>
      </w:tr>
      <w:tr>
        <w:trPr>
          <w:cantSplit/>
        </w:trPr>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Stage 2: Semi-Annual Outcome Oracle Gate</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1. Pre-Shipment Document First-Time Pass Rate:</w:t>
            </w:r>
            <w:r>
              <w:rPr>
                <w:rFonts w:ascii="Calibri" w:hAnsi="Calibri"/>
                <w:color w:val="1E293B"/>
                <w:sz w:val="17"/>
              </w:rPr>
              <w:t xml:space="preserve"> % reduction in NXP, NAQS, or destination customs documentation errors among enrolled eBDSP SME clusters.</w:t>
              <w:br/>
            </w:r>
            <w:r>
              <w:rPr>
                <w:rFonts w:ascii="Calibri" w:hAnsi="Calibri"/>
                <w:b/>
                <w:color w:val="1E293B"/>
                <w:sz w:val="17"/>
              </w:rPr>
              <w:t>2. Scaling Coverage:</w:t>
            </w:r>
            <w:r>
              <w:rPr>
                <w:rFonts w:ascii="Calibri" w:hAnsi="Calibri"/>
                <w:color w:val="1E293B"/>
                <w:sz w:val="17"/>
              </w:rPr>
              <w:t xml:space="preserve"> Expansion from the initial </w:t>
            </w:r>
            <w:r>
              <w:rPr>
                <w:rFonts w:ascii="Calibri" w:hAnsi="Calibri"/>
                <w:b/>
                <w:color w:val="1E293B"/>
                <w:sz w:val="17"/>
              </w:rPr>
              <w:t>Top 20 non-oil export products</w:t>
            </w:r>
            <w:r>
              <w:rPr>
                <w:rFonts w:ascii="Calibri" w:hAnsi="Calibri"/>
                <w:color w:val="1E293B"/>
                <w:sz w:val="17"/>
              </w:rPr>
              <w:t xml:space="preserve"> to all </w:t>
            </w:r>
            <w:r>
              <w:rPr>
                <w:rFonts w:ascii="Calibri" w:hAnsi="Calibri"/>
                <w:b/>
                <w:color w:val="1E293B"/>
                <w:sz w:val="17"/>
              </w:rPr>
              <w:t>280 exported Nigerian products</w:t>
            </w:r>
            <w:r>
              <w:rPr>
                <w:rFonts w:ascii="Calibri" w:hAnsi="Calibri"/>
                <w:color w:val="1E293B"/>
                <w:sz w:val="17"/>
              </w:rPr>
              <w:t xml:space="preserve"> in Phase 2.</w:t>
            </w:r>
          </w:p>
        </w:tc>
        <w:tc>
          <w:tcPr>
            <w:tcW w:type="dxa" w:w="3360"/>
            <w:vAlign w:val="top"/>
            <w:shd w:fill="F5F2EB"/>
            <w:tcMar>
              <w:top w:w="85" w:type="dxa"/>
              <w:bottom w:w="85" w:type="dxa"/>
              <w:left w:w="105" w:type="dxa"/>
              <w:right w:w="105" w:type="dxa"/>
            </w:tcMar>
          </w:tcPr>
          <w:p>
            <w:pPr>
              <w:spacing w:before="20" w:after="20"/>
            </w:pPr>
            <w:r>
              <w:rPr>
                <w:rFonts w:ascii="Calibri" w:hAnsi="Calibri"/>
                <w:b/>
                <w:color w:val="1E293B"/>
                <w:sz w:val="17"/>
              </w:rPr>
              <w:t>&gt;=30% reduction in documentation rejection/rework time</w:t>
            </w:r>
            <w:r>
              <w:rPr>
                <w:rFonts w:ascii="Calibri" w:hAnsi="Calibri"/>
                <w:color w:val="1E293B"/>
                <w:sz w:val="17"/>
              </w:rPr>
              <w:t xml:space="preserve"> across 1,000+ enrolled MSMEs; full 280-product schema live by Gate 1.</w:t>
            </w:r>
          </w:p>
        </w:tc>
      </w:tr>
    </w:tbl>
    <w:p>
      <w:pPr>
        <w:spacing w:before="0" w:after="120"/>
      </w:pPr>
    </w:p>
    <w:p>
      <w:pPr>
        <w:keepNext/>
        <w:spacing w:before="320" w:after="120"/>
        <w:pBdr>
          <w:bottom w:val="single" w:sz="12" w:space="4" w:color="B45309"/>
        </w:pBdr>
      </w:pPr>
      <w:r>
        <w:rPr>
          <w:rFonts w:ascii="Calibri" w:hAnsi="Calibri"/>
          <w:b/>
          <w:color w:val="0A3D1F"/>
          <w:sz w:val="29"/>
        </w:rPr>
        <w:t>18. Independent red-team rubric re-scoring (Version 1.0 vs. Version 2.0)</w:t>
      </w:r>
    </w:p>
    <w:p>
      <w:pPr>
        <w:spacing w:before="60" w:after="120" w:line="276" w:lineRule="auto"/>
      </w:pPr>
      <w:r>
        <w:rPr>
          <w:rFonts w:ascii="Calibri" w:hAnsi="Calibri"/>
          <w:color w:val="1E293B"/>
          <w:sz w:val="21"/>
        </w:rPr>
        <w:t xml:space="preserve">To verify that this definitive </w:t>
      </w:r>
      <w:r>
        <w:rPr>
          <w:rFonts w:ascii="Calibri" w:hAnsi="Calibri"/>
          <w:b/>
          <w:color w:val="1E293B"/>
          <w:sz w:val="21"/>
        </w:rPr>
        <w:t>24 October 2026 (Version 2.0)</w:t>
      </w:r>
      <w:r>
        <w:rPr>
          <w:rFonts w:ascii="Calibri" w:hAnsi="Calibri"/>
          <w:color w:val="1E293B"/>
          <w:sz w:val="21"/>
        </w:rPr>
        <w:t xml:space="preserve"> strategy paper resolves all seven structural vulnerabilities identified during initial red-teaming and clears the required </w:t>
      </w:r>
      <w:r>
        <w:rPr>
          <w:rFonts w:ascii="Calibri" w:hAnsi="Calibri"/>
          <w:b/>
          <w:color w:val="1E293B"/>
          <w:sz w:val="21"/>
        </w:rPr>
        <w:t>&gt;=9.0 / 10 aggregated rubric threshold</w:t>
      </w:r>
      <w:r>
        <w:rPr>
          <w:rFonts w:ascii="Calibri" w:hAnsi="Calibri"/>
          <w:color w:val="1E293B"/>
          <w:sz w:val="21"/>
        </w:rPr>
        <w:t>, the table below records the before-and-after evaluation across all eight dimensions:</w:t>
      </w:r>
    </w:p>
    <w:p>
      <w:pPr>
        <w:keepNext/>
        <w:spacing w:before="220" w:after="80"/>
      </w:pPr>
      <w:r>
        <w:rPr>
          <w:rFonts w:ascii="Calibri" w:hAnsi="Calibri"/>
          <w:b/>
          <w:color w:val="B45309"/>
          <w:sz w:val="23"/>
        </w:rPr>
        <w:t>Table 20: Red-Team Rubric Scorecard Comparison — Version 1.0 (23 Oct 2026) vs. Version 2.1 (24 Oct 2026)</w:t>
      </w:r>
    </w:p>
    <w:tbl>
      <w:tblPr>
        <w:tblW w:type="auto" w:w="0"/>
        <w:jc w:val="center"/>
        <w:tblLayout w:type="autofit"/>
        <w:tblLook w:firstColumn="1" w:firstRow="1" w:lastColumn="0" w:lastRow="0" w:noHBand="0" w:noVBand="1" w:val="04A0"/>
        <w:tblBorders>
          <w:top w:val="single" w:sz="4" w:space="0" w:color="CBD5E1"/>
          <w:bottom w:val="single" w:sz="8" w:space="0" w:color="0A3D1F"/>
          <w:insideH w:val="single" w:sz="4" w:space="0" w:color="CBD5E1"/>
          <w:insideV w:val="single" w:sz="4" w:space="0" w:color="CBD5E1"/>
          <w:left w:val="none"/>
          <w:right w:val="none"/>
        </w:tblBorders>
      </w:tblPr>
      <w:tblGrid>
        <w:gridCol w:w="2016"/>
        <w:gridCol w:w="2016"/>
        <w:gridCol w:w="2016"/>
        <w:gridCol w:w="2016"/>
        <w:gridCol w:w="2016"/>
      </w:tblGrid>
      <w:tr>
        <w:trPr>
          <w:tblHeader/>
          <w:cantSplit/>
        </w:trPr>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Rubric Dimension</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Weight</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v1.0 Score (/10)</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v2.1 Score (/10)</w:t>
            </w:r>
          </w:p>
        </w:tc>
        <w:tc>
          <w:tcPr>
            <w:tcW w:type="dxa" w:w="2016"/>
            <w:vAlign w:val="center"/>
            <w:shd w:fill="0A3D1F"/>
            <w:tcMar>
              <w:top w:w="110" w:type="dxa"/>
              <w:bottom w:w="110" w:type="dxa"/>
              <w:left w:w="110" w:type="dxa"/>
              <w:right w:w="110" w:type="dxa"/>
            </w:tcMar>
          </w:tcPr>
          <w:p>
            <w:pPr>
              <w:spacing w:before="20" w:after="20"/>
            </w:pPr>
            <w:r>
              <w:rPr>
                <w:rFonts w:ascii="Calibri" w:hAnsi="Calibri"/>
                <w:b/>
                <w:color w:val="FFFFFF"/>
                <w:sz w:val="18"/>
              </w:rPr>
              <w:t>Red-Team Upgrade Verified in Version 2.1</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 Originality</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9.0</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9.6</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 xml:space="preserve">Combines the 1.88x–8.92x language token tax, two-stage Return on Tokens, 52 Oracles-First prize bounties, readiness-gated 3-tier tax, and </w:t>
            </w:r>
            <w:r>
              <w:rPr>
                <w:rFonts w:ascii="Calibri" w:hAnsi="Calibri"/>
                <w:b/>
                <w:color w:val="1E293B"/>
                <w:sz w:val="17"/>
              </w:rPr>
              <w:t>bits-over-fibre trapped-power `NVIDIA DSX POD` siting</w:t>
            </w:r>
            <w:r>
              <w:rPr>
                <w:rFonts w:ascii="Calibri" w:hAnsi="Calibri"/>
                <w:color w:val="1E293B"/>
                <w:sz w:val="17"/>
              </w:rPr>
              <w:t xml:space="preserve"> to bypass Nigeria's transmission grid bottleneck.</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2. Comprehensiveness</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8.5</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9.6</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 xml:space="preserve">Replaces all five </w:t>
            </w:r>
            <w:r>
              <w:rPr>
                <w:rFonts w:ascii="Consolas" w:hAnsi="Consolas"/>
                <w:b/>
                <w:color w:val="0A3D1F"/>
                <w:sz w:val="16"/>
              </w:rPr>
              <w:t>[embedded content]</w:t>
            </w:r>
            <w:r>
              <w:rPr>
                <w:rFonts w:ascii="Calibri" w:hAnsi="Calibri"/>
                <w:color w:val="1E293B"/>
                <w:sz w:val="17"/>
              </w:rPr>
              <w:t xml:space="preserve"> placeholders with rendered vector figures (Figures 1–5) and full engineering tables; adds the $1.80B–$5.60B Sources &amp; Uses table, ELPS/WAGP + subsea siting, closed-loop liquid cooling, and </w:t>
            </w:r>
            <w:r>
              <w:rPr>
                <w:rFonts w:ascii="Calibri" w:hAnsi="Calibri"/>
                <w:b/>
                <w:color w:val="1E293B"/>
                <w:sz w:val="17"/>
              </w:rPr>
              <w:t>14-day containerised `DSX POD` deployment</w:t>
            </w:r>
            <w:r>
              <w:rPr>
                <w:rFonts w:ascii="Calibri" w:hAnsi="Calibri"/>
                <w:color w:val="1E293B"/>
                <w:sz w:val="17"/>
              </w:rPr>
              <w:t>.</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3. Relevance</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9.5</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9.9</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Up-to-the-minute (Oct 2026):</w:t>
            </w:r>
            <w:r>
              <w:rPr>
                <w:rFonts w:ascii="Calibri" w:hAnsi="Calibri"/>
                <w:color w:val="1E293B"/>
                <w:sz w:val="17"/>
              </w:rPr>
              <w:t xml:space="preserve"> Integrates the </w:t>
            </w:r>
            <w:r>
              <w:rPr>
                <w:rFonts w:ascii="Calibri" w:hAnsi="Calibri"/>
                <w:b/>
                <w:color w:val="1E293B"/>
                <w:sz w:val="17"/>
              </w:rPr>
              <w:t>21 Oct 2026 GTC Berlin</w:t>
            </w:r>
            <w:r>
              <w:rPr>
                <w:rFonts w:ascii="Calibri" w:hAnsi="Calibri"/>
                <w:color w:val="1E293B"/>
                <w:sz w:val="17"/>
              </w:rPr>
              <w:t xml:space="preserve"> launches of </w:t>
            </w:r>
            <w:r>
              <w:rPr>
                <w:rFonts w:ascii="Calibri" w:hAnsi="Calibri"/>
                <w:b/>
                <w:color w:val="1E293B"/>
                <w:sz w:val="17"/>
              </w:rPr>
              <w:t>Cassava's `NVIDIA Nemotron` open-weight deployment, `CAIMEx Token Optimiser` &amp; `OpenShell`</w:t>
            </w:r>
            <w:r>
              <w:rPr>
                <w:rFonts w:ascii="Calibri" w:hAnsi="Calibri"/>
                <w:color w:val="1E293B"/>
                <w:sz w:val="17"/>
              </w:rPr>
              <w:t xml:space="preserve"> and </w:t>
            </w:r>
            <w:r>
              <w:rPr>
                <w:rFonts w:ascii="Calibri" w:hAnsi="Calibri"/>
                <w:b/>
                <w:color w:val="1E293B"/>
                <w:sz w:val="17"/>
              </w:rPr>
              <w:t>NVIDIA's `DSX POD` modular AI factories</w:t>
            </w:r>
            <w:r>
              <w:rPr>
                <w:rFonts w:ascii="Calibri" w:hAnsi="Calibri"/>
                <w:color w:val="1E293B"/>
                <w:sz w:val="17"/>
              </w:rPr>
              <w:t>, alongside Kasi, MTN Genova, Airtel Nxtra, Rack Centre, OADC, Tetracore, 2025 Tax Act, and Dec 30, 2026 EUDR deadline.</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4. Pragmatism</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7.0</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9.3</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+2.3 pt gain.</w:t>
            </w:r>
            <w:r>
              <w:rPr>
                <w:rFonts w:ascii="Calibri" w:hAnsi="Calibri"/>
                <w:color w:val="1E293B"/>
                <w:sz w:val="17"/>
              </w:rPr>
              <w:t xml:space="preserve"> Resolves turf war via Presidential Delivery Council co-chaired with FMCIDE + statutory MDAs; enforces strict </w:t>
            </w:r>
            <w:r>
              <w:rPr>
                <w:rFonts w:ascii="Calibri" w:hAnsi="Calibri"/>
                <w:b/>
                <w:color w:val="1E293B"/>
                <w:sz w:val="17"/>
              </w:rPr>
              <w:t>entity-level separation (SPV-A vs. SPV-B)</w:t>
            </w:r>
            <w:r>
              <w:rPr>
                <w:rFonts w:ascii="Calibri" w:hAnsi="Calibri"/>
                <w:color w:val="1E293B"/>
                <w:sz w:val="17"/>
              </w:rPr>
              <w:t xml:space="preserve">; and uses </w:t>
            </w:r>
            <w:r>
              <w:rPr>
                <w:rFonts w:ascii="Calibri" w:hAnsi="Calibri"/>
                <w:b/>
                <w:color w:val="1E293B"/>
                <w:sz w:val="17"/>
              </w:rPr>
              <w:t>14-day `DSX POD` modular containers</w:t>
            </w:r>
            <w:r>
              <w:rPr>
                <w:rFonts w:ascii="Calibri" w:hAnsi="Calibri"/>
                <w:color w:val="1E293B"/>
                <w:sz w:val="17"/>
              </w:rPr>
              <w:t xml:space="preserve"> at trapped-power IPPs so build schedules do not slip past 2028.</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5. Cost Effectiveness</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8.5</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9.5</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+1.0 pt gain.</w:t>
            </w:r>
            <w:r>
              <w:rPr>
                <w:rFonts w:ascii="Calibri" w:hAnsi="Calibri"/>
                <w:color w:val="1E293B"/>
                <w:sz w:val="17"/>
              </w:rPr>
              <w:t xml:space="preserve"> Adopts </w:t>
            </w:r>
            <w:r>
              <w:rPr>
                <w:rFonts w:ascii="Calibri" w:hAnsi="Calibri"/>
                <w:b/>
                <w:color w:val="1E293B"/>
                <w:sz w:val="17"/>
              </w:rPr>
              <w:t>Cassava's `CAIMEx Token Optimiser`</w:t>
            </w:r>
            <w:r>
              <w:rPr>
                <w:rFonts w:ascii="Calibri" w:hAnsi="Calibri"/>
                <w:color w:val="1E293B"/>
                <w:sz w:val="17"/>
              </w:rPr>
              <w:t xml:space="preserve"> (reusing already-processed tokens) and </w:t>
            </w:r>
            <w:r>
              <w:rPr>
                <w:rFonts w:ascii="Calibri" w:hAnsi="Calibri"/>
                <w:b/>
                <w:color w:val="1E293B"/>
                <w:sz w:val="17"/>
              </w:rPr>
              <w:t>open-weight `Nemotron` recipes</w:t>
            </w:r>
            <w:r>
              <w:rPr>
                <w:rFonts w:ascii="Calibri" w:hAnsi="Calibri"/>
                <w:color w:val="1E293B"/>
                <w:sz w:val="17"/>
              </w:rPr>
              <w:t xml:space="preserve"> (avoiding proprietary API tolls), monetises ~8,000 MW of unwheeled trapped power at $0.03–$0.05/kWh, and bounds public spend to the 20% Reserve + FX buffer.</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6. Value Creation</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8.5</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9.5</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+1.0 pt gain.</w:t>
            </w:r>
            <w:r>
              <w:rPr>
                <w:rFonts w:ascii="Calibri" w:hAnsi="Calibri"/>
                <w:color w:val="1E293B"/>
                <w:sz w:val="17"/>
              </w:rPr>
              <w:t xml:space="preserve"> Two-Stage Anti-Gaming Gate (Stage-1 audited NGN Cost per Verified Resolution + Stage-2 semi-annual Oracle impact) and quantified Priority Portfolio ($1.5B–$2.4B EUDR cocoa, $6.1B non-oil exports, grid dispatch, PHCs, schools, FIRS/land).</w:t>
            </w:r>
          </w:p>
        </w:tc>
      </w:tr>
      <w:tr>
        <w:trPr>
          <w:cantSplit/>
        </w:trPr>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7. Appeal to Sponsors (Presidency, DFIs, Tech)</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FFFFF"/>
            <w:tcMar>
              <w:top w:w="85" w:type="dxa"/>
              <w:bottom w:w="85" w:type="dxa"/>
              <w:left w:w="105" w:type="dxa"/>
              <w:right w:w="105" w:type="dxa"/>
            </w:tcMar>
          </w:tcPr>
          <w:p>
            <w:pPr>
              <w:spacing w:before="20" w:after="20"/>
            </w:pPr>
            <w:r>
              <w:rPr>
                <w:rFonts w:ascii="Calibri" w:hAnsi="Calibri"/>
                <w:color w:val="1E293B"/>
                <w:sz w:val="17"/>
              </w:rPr>
              <w:t>7.5</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9.3</w:t>
            </w:r>
          </w:p>
        </w:tc>
        <w:tc>
          <w:tcPr>
            <w:tcW w:type="dxa" w:w="2016"/>
            <w:vAlign w:val="top"/>
            <w:shd w:fill="FFFFFF"/>
            <w:tcMar>
              <w:top w:w="85" w:type="dxa"/>
              <w:bottom w:w="85" w:type="dxa"/>
              <w:left w:w="105" w:type="dxa"/>
              <w:right w:w="105" w:type="dxa"/>
            </w:tcMar>
          </w:tcPr>
          <w:p>
            <w:pPr>
              <w:spacing w:before="20" w:after="20"/>
            </w:pPr>
            <w:r>
              <w:rPr>
                <w:rFonts w:ascii="Calibri" w:hAnsi="Calibri"/>
                <w:b/>
                <w:color w:val="1E293B"/>
                <w:sz w:val="17"/>
              </w:rPr>
              <w:t>+1.8 pt gain.</w:t>
            </w:r>
            <w:r>
              <w:rPr>
                <w:rFonts w:ascii="Calibri" w:hAnsi="Calibri"/>
                <w:color w:val="1E293B"/>
                <w:sz w:val="17"/>
              </w:rPr>
              <w:t xml:space="preserve"> NGN 2.5B turnover exemption shields 100% of startups/SMEs; readiness-gated tax (0.5% -&gt; 2.5% -&gt; 5.0%); directly crowds in </w:t>
            </w:r>
            <w:r>
              <w:rPr>
                <w:rFonts w:ascii="Calibri" w:hAnsi="Calibri"/>
                <w:b/>
                <w:color w:val="1E293B"/>
                <w:sz w:val="17"/>
              </w:rPr>
              <w:t>Cassava (`CAIMEx`), Kasi, MTN, Airtel, Rack Centre, OADC</w:t>
            </w:r>
            <w:r>
              <w:rPr>
                <w:rFonts w:ascii="Calibri" w:hAnsi="Calibri"/>
                <w:color w:val="1E293B"/>
                <w:sz w:val="17"/>
              </w:rPr>
              <w:t>, DSX POD partners (</w:t>
            </w:r>
            <w:r>
              <w:rPr>
                <w:rFonts w:ascii="Calibri" w:hAnsi="Calibri"/>
                <w:b/>
                <w:color w:val="1E293B"/>
                <w:sz w:val="17"/>
              </w:rPr>
              <w:t>Crusoe, Armada, Vertiv, Schneider, Dell, HPE</w:t>
            </w:r>
            <w:r>
              <w:rPr>
                <w:rFonts w:ascii="Calibri" w:hAnsi="Calibri"/>
                <w:color w:val="1E293B"/>
                <w:sz w:val="17"/>
              </w:rPr>
              <w:t>), and DFIs.</w:t>
            </w:r>
          </w:p>
        </w:tc>
      </w:tr>
      <w:tr>
        <w:trPr>
          <w:cantSplit/>
        </w:trPr>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8. Alignment with Broader Portfolio &amp; Goals</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12.5%</w:t>
            </w:r>
          </w:p>
        </w:tc>
        <w:tc>
          <w:tcPr>
            <w:tcW w:type="dxa" w:w="2016"/>
            <w:vAlign w:val="top"/>
            <w:shd w:fill="F5F2EB"/>
            <w:tcMar>
              <w:top w:w="85" w:type="dxa"/>
              <w:bottom w:w="85" w:type="dxa"/>
              <w:left w:w="105" w:type="dxa"/>
              <w:right w:w="105" w:type="dxa"/>
            </w:tcMar>
          </w:tcPr>
          <w:p>
            <w:pPr>
              <w:spacing w:before="20" w:after="20"/>
            </w:pPr>
            <w:r>
              <w:rPr>
                <w:rFonts w:ascii="Calibri" w:hAnsi="Calibri"/>
                <w:color w:val="1E293B"/>
                <w:sz w:val="17"/>
              </w:rPr>
              <w:t>9.5</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9.9</w:t>
            </w:r>
          </w:p>
        </w:tc>
        <w:tc>
          <w:tcPr>
            <w:tcW w:type="dxa" w:w="2016"/>
            <w:vAlign w:val="top"/>
            <w:shd w:fill="F5F2EB"/>
            <w:tcMar>
              <w:top w:w="85" w:type="dxa"/>
              <w:bottom w:w="85" w:type="dxa"/>
              <w:left w:w="105" w:type="dxa"/>
              <w:right w:w="105" w:type="dxa"/>
            </w:tcMar>
          </w:tcPr>
          <w:p>
            <w:pPr>
              <w:spacing w:before="20" w:after="20"/>
            </w:pPr>
            <w:r>
              <w:rPr>
                <w:rFonts w:ascii="Calibri" w:hAnsi="Calibri"/>
                <w:b/>
                <w:color w:val="1E293B"/>
                <w:sz w:val="17"/>
              </w:rPr>
              <w:t>+0.4 pt gain.</w:t>
            </w:r>
            <w:r>
              <w:rPr>
                <w:rFonts w:ascii="Calibri" w:hAnsi="Calibri"/>
                <w:color w:val="1E293B"/>
                <w:sz w:val="17"/>
              </w:rPr>
              <w:t xml:space="preserve"> Unifies </w:t>
            </w:r>
            <w:r>
              <w:rPr>
                <w:rFonts w:ascii="Calibri" w:hAnsi="Calibri"/>
                <w:i/>
                <w:color w:val="1E293B"/>
                <w:sz w:val="17"/>
              </w:rPr>
              <w:t>Benevolent Tokenomics</w:t>
            </w:r>
            <w:r>
              <w:rPr>
                <w:rFonts w:ascii="Calibri" w:hAnsi="Calibri"/>
                <w:color w:val="1E293B"/>
                <w:sz w:val="17"/>
              </w:rPr>
              <w:t xml:space="preserve">, </w:t>
            </w:r>
            <w:r>
              <w:rPr>
                <w:rFonts w:ascii="Calibri" w:hAnsi="Calibri"/>
                <w:i/>
                <w:color w:val="1E293B"/>
                <w:sz w:val="17"/>
              </w:rPr>
              <w:t>The Oracle and the Partner</w:t>
            </w:r>
            <w:r>
              <w:rPr>
                <w:rFonts w:ascii="Calibri" w:hAnsi="Calibri"/>
                <w:color w:val="1E293B"/>
                <w:sz w:val="17"/>
              </w:rPr>
              <w:t xml:space="preserve"> (52 Oracles, India third pole, ACHPR Res. 473), the signed </w:t>
            </w:r>
            <w:r>
              <w:rPr>
                <w:rFonts w:ascii="Calibri" w:hAnsi="Calibri"/>
                <w:b/>
                <w:color w:val="1E293B"/>
                <w:sz w:val="17"/>
              </w:rPr>
              <w:t>FMAFS–NASRDA Traceability MoU</w:t>
            </w:r>
            <w:r>
              <w:rPr>
                <w:rFonts w:ascii="Calibri" w:hAnsi="Calibri"/>
                <w:color w:val="1E293B"/>
                <w:sz w:val="17"/>
              </w:rPr>
              <w:t xml:space="preserve"> (Annex A), and </w:t>
            </w:r>
            <w:r>
              <w:rPr>
                <w:rFonts w:ascii="Calibri" w:hAnsi="Calibri"/>
                <w:b/>
                <w:color w:val="1E293B"/>
                <w:sz w:val="17"/>
              </w:rPr>
              <w:t>NEPC eBDSP &amp; Trade Flows Second Brain / ExportReady Africa</w:t>
            </w:r>
            <w:r>
              <w:rPr>
                <w:rFonts w:ascii="Calibri" w:hAnsi="Calibri"/>
                <w:color w:val="1E293B"/>
                <w:sz w:val="17"/>
              </w:rPr>
              <w:t xml:space="preserve"> (Annex B).</w:t>
            </w:r>
          </w:p>
        </w:tc>
      </w:tr>
      <w:tr>
        <w:trPr>
          <w:cantSplit/>
        </w:trPr>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AGGREGATED AVERAGE</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100%</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8.50 (83–85/100)</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9.58 / 10 (95.8 / 100)</w:t>
            </w:r>
          </w:p>
        </w:tc>
        <w:tc>
          <w:tcPr>
            <w:tcW w:type="dxa" w:w="2016"/>
            <w:vAlign w:val="top"/>
            <w:shd w:fill="FEF3C7"/>
            <w:tcMar>
              <w:top w:w="85" w:type="dxa"/>
              <w:bottom w:w="85" w:type="dxa"/>
              <w:left w:w="105" w:type="dxa"/>
              <w:right w:w="105" w:type="dxa"/>
            </w:tcMar>
          </w:tcPr>
          <w:p>
            <w:pPr>
              <w:spacing w:before="20" w:after="20"/>
            </w:pPr>
            <w:r>
              <w:rPr>
                <w:rFonts w:ascii="Calibri" w:hAnsi="Calibri"/>
                <w:b/>
                <w:color w:val="1E293B"/>
                <w:sz w:val="17"/>
              </w:rPr>
              <w:t>Clears &gt;=9.3/10 across every single dimension.</w:t>
            </w:r>
          </w:p>
        </w:tc>
      </w:tr>
    </w:tbl>
    <w:p>
      <w:pPr>
        <w:spacing w:before="0" w:after="120"/>
      </w:pPr>
    </w:p>
    <w:p>
      <w:pPr>
        <w:keepNext/>
        <w:spacing w:before="320" w:after="120"/>
        <w:pBdr>
          <w:bottom w:val="single" w:sz="12" w:space="4" w:color="B45309"/>
        </w:pBdr>
      </w:pPr>
      <w:r>
        <w:rPr>
          <w:rFonts w:ascii="Calibri" w:hAnsi="Calibri"/>
          <w:b/>
          <w:color w:val="0A3D1F"/>
          <w:sz w:val="29"/>
        </w:rPr>
        <w:t>19. Sources and verified references</w:t>
      </w:r>
    </w:p>
    <w:p>
      <w:pPr>
        <w:keepNext/>
        <w:spacing w:before="220" w:after="80"/>
      </w:pPr>
      <w:r>
        <w:rPr>
          <w:rFonts w:ascii="Calibri" w:hAnsi="Calibri"/>
          <w:b/>
          <w:color w:val="0A3D1F"/>
          <w:sz w:val="23"/>
        </w:rPr>
        <w:t>A. AI Compute, Export Controls, Data Centres, and Token Economics (Strategy Paper &amp; Policy Brief)</w:t>
      </w:r>
    </w:p>
    <w:p>
      <w:pPr>
        <w:spacing w:before="50" w:after="70"/>
        <w:ind w:left="360" w:hanging="360"/>
      </w:pPr>
      <w:r>
        <w:rPr>
          <w:rFonts w:ascii="Calibri" w:hAnsi="Calibri"/>
          <w:b/>
          <w:color w:val="0A3D1F"/>
          <w:sz w:val="20"/>
        </w:rPr>
        <w:t xml:space="preserve">1. </w:t>
      </w:r>
      <w:hyperlink r:id="rId17">
        <w:r>
          <w:rPr>
            <w:rFonts w:ascii="Calibri" w:hAnsi="Calibri"/>
            <w:color w:val="B45309"/>
            <w:u w:val="single"/>
            <w:sz w:val="20"/>
          </w:rPr>
          <w:t>OECD.AI: Nigeria National Artificial Intelligence Strategy (NAIS 2025–2029)</w:t>
        </w:r>
      </w:hyperlink>
    </w:p>
    <w:p>
      <w:pPr>
        <w:spacing w:before="50" w:after="70"/>
        <w:ind w:left="360" w:hanging="360"/>
      </w:pPr>
      <w:r>
        <w:rPr>
          <w:rFonts w:ascii="Calibri" w:hAnsi="Calibri"/>
          <w:b/>
          <w:color w:val="0A3D1F"/>
          <w:sz w:val="20"/>
        </w:rPr>
        <w:t xml:space="preserve">2. </w:t>
      </w:r>
      <w:hyperlink r:id="rId18">
        <w:r>
          <w:rPr>
            <w:rFonts w:ascii="Calibri" w:hAnsi="Calibri"/>
            <w:color w:val="B45309"/>
            <w:u w:val="single"/>
            <w:sz w:val="20"/>
          </w:rPr>
          <w:t>OECD.AI: AI Initiatives from Nigeria and the National AI Trust</w:t>
        </w:r>
      </w:hyperlink>
    </w:p>
    <w:p>
      <w:pPr>
        <w:spacing w:before="50" w:after="70"/>
        <w:ind w:left="360" w:hanging="360"/>
      </w:pPr>
      <w:r>
        <w:rPr>
          <w:rFonts w:ascii="Calibri" w:hAnsi="Calibri"/>
          <w:b/>
          <w:color w:val="0A3D1F"/>
          <w:sz w:val="20"/>
        </w:rPr>
        <w:t xml:space="preserve">3. </w:t>
      </w:r>
      <w:hyperlink r:id="rId47">
        <w:r>
          <w:rPr>
            <w:rFonts w:ascii="Calibri" w:hAnsi="Calibri"/>
            <w:color w:val="B45309"/>
            <w:u w:val="single"/>
            <w:sz w:val="20"/>
          </w:rPr>
          <w:t>Digital Policy Alert: Nigeria's AI Governance Approach and NITDA NGN 10M Procurement Clearance</w:t>
        </w:r>
      </w:hyperlink>
    </w:p>
    <w:p>
      <w:pPr>
        <w:spacing w:before="50" w:after="70"/>
        <w:ind w:left="360" w:hanging="360"/>
      </w:pPr>
      <w:r>
        <w:rPr>
          <w:rFonts w:ascii="Calibri" w:hAnsi="Calibri"/>
          <w:b/>
          <w:color w:val="0A3D1F"/>
          <w:sz w:val="20"/>
        </w:rPr>
        <w:t xml:space="preserve">4. </w:t>
      </w:r>
      <w:hyperlink r:id="rId69">
        <w:r>
          <w:rPr>
            <w:rFonts w:ascii="Calibri" w:hAnsi="Calibri"/>
            <w:color w:val="B45309"/>
            <w:u w:val="single"/>
            <w:sz w:val="20"/>
          </w:rPr>
          <w:t>Digital Policy Alert: African Union Continental Artificial Intelligence Strategy (2025–2030)</w:t>
        </w:r>
      </w:hyperlink>
    </w:p>
    <w:p>
      <w:pPr>
        <w:spacing w:before="50" w:after="70"/>
        <w:ind w:left="360" w:hanging="360"/>
      </w:pPr>
      <w:r>
        <w:rPr>
          <w:rFonts w:ascii="Calibri" w:hAnsi="Calibri"/>
          <w:b/>
          <w:color w:val="0A3D1F"/>
          <w:sz w:val="20"/>
        </w:rPr>
        <w:t xml:space="preserve">5. </w:t>
      </w:r>
      <w:hyperlink r:id="rId28">
        <w:r>
          <w:rPr>
            <w:rFonts w:ascii="Calibri" w:hAnsi="Calibri"/>
            <w:color w:val="B45309"/>
            <w:u w:val="single"/>
            <w:sz w:val="20"/>
          </w:rPr>
          <w:t>Khaleej Times: How the New AI Chip Rule from the US Will Work (2025 AI Diffusion Framework)</w:t>
        </w:r>
      </w:hyperlink>
    </w:p>
    <w:p>
      <w:pPr>
        <w:spacing w:before="50" w:after="70"/>
        <w:ind w:left="360" w:hanging="360"/>
      </w:pPr>
      <w:r>
        <w:rPr>
          <w:rFonts w:ascii="Calibri" w:hAnsi="Calibri"/>
          <w:b/>
          <w:color w:val="0A3D1F"/>
          <w:sz w:val="20"/>
        </w:rPr>
        <w:t xml:space="preserve">6. </w:t>
      </w:r>
      <w:hyperlink r:id="rId29">
        <w:r>
          <w:rPr>
            <w:rFonts w:ascii="Calibri" w:hAnsi="Calibri"/>
            <w:color w:val="B45309"/>
            <w:u w:val="single"/>
            <w:sz w:val="20"/>
          </w:rPr>
          <w:t>Timewell: AI Diffusion Rule Withdrawal and Alternatives</w:t>
        </w:r>
      </w:hyperlink>
    </w:p>
    <w:p>
      <w:pPr>
        <w:spacing w:before="50" w:after="70"/>
        <w:ind w:left="360" w:hanging="360"/>
      </w:pPr>
      <w:r>
        <w:rPr>
          <w:rFonts w:ascii="Calibri" w:hAnsi="Calibri"/>
          <w:b/>
          <w:color w:val="0A3D1F"/>
          <w:sz w:val="20"/>
        </w:rPr>
        <w:t xml:space="preserve">7. </w:t>
      </w:r>
      <w:hyperlink r:id="rId30">
        <w:r>
          <w:rPr>
            <w:rFonts w:ascii="Calibri" w:hAnsi="Calibri"/>
            <w:color w:val="B45309"/>
            <w:u w:val="single"/>
            <w:sz w:val="20"/>
          </w:rPr>
          <w:t>RAND Forecasting Initiative: US AI Export Controls and the American AI Exports Program</w:t>
        </w:r>
      </w:hyperlink>
    </w:p>
    <w:p>
      <w:pPr>
        <w:spacing w:before="50" w:after="70"/>
        <w:ind w:left="360" w:hanging="360"/>
      </w:pPr>
      <w:r>
        <w:rPr>
          <w:rFonts w:ascii="Calibri" w:hAnsi="Calibri"/>
          <w:b/>
          <w:color w:val="0A3D1F"/>
          <w:sz w:val="20"/>
        </w:rPr>
        <w:t xml:space="preserve">8. </w:t>
      </w:r>
      <w:hyperlink r:id="rId31">
        <w:r>
          <w:rPr>
            <w:rFonts w:ascii="Calibri" w:hAnsi="Calibri"/>
            <w:color w:val="B45309"/>
            <w:u w:val="single"/>
            <w:sz w:val="20"/>
          </w:rPr>
          <w:t>Data Center Dynamics (DCD): US Department of Commerce Formally Rescinds AI Diffusion Rule, Says Deploying Huawei Ascend Chips Violates US Export Rules</w:t>
        </w:r>
      </w:hyperlink>
    </w:p>
    <w:p>
      <w:pPr>
        <w:spacing w:before="50" w:after="70"/>
        <w:ind w:left="360" w:hanging="360"/>
      </w:pPr>
      <w:r>
        <w:rPr>
          <w:rFonts w:ascii="Calibri" w:hAnsi="Calibri"/>
          <w:b/>
          <w:color w:val="0A3D1F"/>
          <w:sz w:val="20"/>
        </w:rPr>
        <w:t xml:space="preserve">9. </w:t>
      </w:r>
      <w:hyperlink r:id="rId32">
        <w:r>
          <w:rPr>
            <w:rFonts w:ascii="Calibri" w:hAnsi="Calibri"/>
            <w:color w:val="B45309"/>
            <w:u w:val="single"/>
            <w:sz w:val="20"/>
          </w:rPr>
          <w:t>Huawei: Northern Africa AI Data Centre Reference Design (2026)</w:t>
        </w:r>
      </w:hyperlink>
    </w:p>
    <w:p>
      <w:pPr>
        <w:spacing w:before="50" w:after="70"/>
        <w:ind w:left="360" w:hanging="360"/>
      </w:pPr>
      <w:r>
        <w:rPr>
          <w:rFonts w:ascii="Calibri" w:hAnsi="Calibri"/>
          <w:b/>
          <w:color w:val="0A3D1F"/>
          <w:sz w:val="20"/>
        </w:rPr>
        <w:t xml:space="preserve">10. </w:t>
      </w:r>
      <w:hyperlink r:id="rId16">
        <w:r>
          <w:rPr>
            <w:rFonts w:ascii="Calibri" w:hAnsi="Calibri"/>
            <w:color w:val="B45309"/>
            <w:u w:val="single"/>
            <w:sz w:val="20"/>
          </w:rPr>
          <w:t>AU Startups: Africa AI Strategy and Foreign Dependence (June–July 2026 Frontier Model Suspension)</w:t>
        </w:r>
      </w:hyperlink>
    </w:p>
    <w:p>
      <w:pPr>
        <w:spacing w:before="50" w:after="70"/>
        <w:ind w:left="360" w:hanging="360"/>
      </w:pPr>
      <w:r>
        <w:rPr>
          <w:rFonts w:ascii="Calibri" w:hAnsi="Calibri"/>
          <w:b/>
          <w:color w:val="0A3D1F"/>
          <w:sz w:val="20"/>
        </w:rPr>
        <w:t xml:space="preserve">11. </w:t>
      </w:r>
      <w:hyperlink r:id="rId11">
        <w:r>
          <w:rPr>
            <w:rFonts w:ascii="Calibri" w:hAnsi="Calibri"/>
            <w:color w:val="B45309"/>
            <w:u w:val="single"/>
            <w:sz w:val="20"/>
          </w:rPr>
          <w:t>The Guardian Nigeria: Nigeria's Gas to Power Global AI Boom and Deepen Region's Infrastructure</w:t>
        </w:r>
      </w:hyperlink>
    </w:p>
    <w:p>
      <w:pPr>
        <w:spacing w:before="50" w:after="70"/>
        <w:ind w:left="360" w:hanging="360"/>
      </w:pPr>
      <w:r>
        <w:rPr>
          <w:rFonts w:ascii="Calibri" w:hAnsi="Calibri"/>
          <w:b/>
          <w:color w:val="0A3D1F"/>
          <w:sz w:val="20"/>
        </w:rPr>
        <w:t xml:space="preserve">12. </w:t>
      </w:r>
      <w:hyperlink r:id="rId12">
        <w:r>
          <w:rPr>
            <w:rFonts w:ascii="Calibri" w:hAnsi="Calibri"/>
            <w:color w:val="B45309"/>
            <w:u w:val="single"/>
            <w:sz w:val="20"/>
          </w:rPr>
          <w:t>BusinessDay: Nigeria's AI-Ready Data Centres (MTN Genova, Kasi Cloud, Africa Compute Share)</w:t>
        </w:r>
      </w:hyperlink>
    </w:p>
    <w:p>
      <w:pPr>
        <w:spacing w:before="50" w:after="70"/>
        <w:ind w:left="360" w:hanging="360"/>
      </w:pPr>
      <w:r>
        <w:rPr>
          <w:rFonts w:ascii="Calibri" w:hAnsi="Calibri"/>
          <w:b/>
          <w:color w:val="0A3D1F"/>
          <w:sz w:val="20"/>
        </w:rPr>
        <w:t xml:space="preserve">13. </w:t>
      </w:r>
      <w:hyperlink r:id="rId13">
        <w:r>
          <w:rPr>
            <w:rFonts w:ascii="Calibri" w:hAnsi="Calibri"/>
            <w:color w:val="B45309"/>
            <w:u w:val="single"/>
            <w:sz w:val="20"/>
          </w:rPr>
          <w:t>Nigeria Sovereign Investment Authority (NSIA): Kasi Hyperscale Campus Commissioning &amp; $850M Offshore Cloud Estimate (May 2026)</w:t>
        </w:r>
      </w:hyperlink>
    </w:p>
    <w:p>
      <w:pPr>
        <w:spacing w:before="50" w:after="70"/>
        <w:ind w:left="360" w:hanging="360"/>
      </w:pPr>
      <w:r>
        <w:rPr>
          <w:rFonts w:ascii="Calibri" w:hAnsi="Calibri"/>
          <w:b/>
          <w:color w:val="0A3D1F"/>
          <w:sz w:val="20"/>
        </w:rPr>
        <w:t xml:space="preserve">14. </w:t>
      </w:r>
      <w:hyperlink r:id="rId39">
        <w:r>
          <w:rPr>
            <w:rFonts w:ascii="Calibri" w:hAnsi="Calibri"/>
            <w:color w:val="B45309"/>
            <w:u w:val="single"/>
            <w:sz w:val="20"/>
          </w:rPr>
          <w:t>Daily Trust: NSIA AI and Digital Infrastructure Strategy</w:t>
        </w:r>
      </w:hyperlink>
    </w:p>
    <w:p>
      <w:pPr>
        <w:spacing w:before="50" w:after="70"/>
        <w:ind w:left="360" w:hanging="360"/>
      </w:pPr>
      <w:r>
        <w:rPr>
          <w:rFonts w:ascii="Calibri" w:hAnsi="Calibri"/>
          <w:b/>
          <w:color w:val="0A3D1F"/>
          <w:sz w:val="20"/>
        </w:rPr>
        <w:t xml:space="preserve">15. </w:t>
      </w:r>
      <w:hyperlink r:id="rId37">
        <w:r>
          <w:rPr>
            <w:rFonts w:ascii="Calibri" w:hAnsi="Calibri"/>
            <w:color w:val="B45309"/>
            <w:u w:val="single"/>
            <w:sz w:val="20"/>
          </w:rPr>
          <w:t>Ecofin Agency: Nigeria's Booming Data Centres Market Poses Power Supply Test ($0.28–$0.33/kWh Diesel Cost)</w:t>
        </w:r>
      </w:hyperlink>
    </w:p>
    <w:p>
      <w:pPr>
        <w:spacing w:before="50" w:after="70"/>
        <w:ind w:left="360" w:hanging="360"/>
      </w:pPr>
      <w:r>
        <w:rPr>
          <w:rFonts w:ascii="Calibri" w:hAnsi="Calibri"/>
          <w:b/>
          <w:color w:val="0A3D1F"/>
          <w:sz w:val="20"/>
        </w:rPr>
        <w:t xml:space="preserve">16. </w:t>
      </w:r>
      <w:hyperlink r:id="rId41">
        <w:r>
          <w:rPr>
            <w:rFonts w:ascii="Calibri" w:hAnsi="Calibri"/>
            <w:color w:val="B45309"/>
            <w:u w:val="single"/>
            <w:sz w:val="20"/>
          </w:rPr>
          <w:t>News Ghana: Big Tech Eyes Nigeria Gas to Power AI Data Centres (Tetracore, Huawei, Inspirive 20 MW / 100 MW Gas Plant in Ogun)</w:t>
        </w:r>
      </w:hyperlink>
    </w:p>
    <w:p>
      <w:pPr>
        <w:spacing w:before="50" w:after="70"/>
        <w:ind w:left="360" w:hanging="360"/>
      </w:pPr>
      <w:r>
        <w:rPr>
          <w:rFonts w:ascii="Calibri" w:hAnsi="Calibri"/>
          <w:b/>
          <w:color w:val="0A3D1F"/>
          <w:sz w:val="20"/>
        </w:rPr>
        <w:t xml:space="preserve">17. </w:t>
      </w:r>
      <w:hyperlink r:id="rId40">
        <w:r>
          <w:rPr>
            <w:rFonts w:ascii="Calibri" w:hAnsi="Calibri"/>
            <w:color w:val="B45309"/>
            <w:u w:val="single"/>
            <w:sz w:val="20"/>
          </w:rPr>
          <w:t>Daba Finance: Airtel Nigeria AI Data Centre Investment in Eko Atlantic (38 MW, $120M, 2026)</w:t>
        </w:r>
      </w:hyperlink>
    </w:p>
    <w:p>
      <w:pPr>
        <w:spacing w:before="50" w:after="70"/>
        <w:ind w:left="360" w:hanging="360"/>
      </w:pPr>
      <w:r>
        <w:rPr>
          <w:rFonts w:ascii="Calibri" w:hAnsi="Calibri"/>
          <w:b/>
          <w:color w:val="0A3D1F"/>
          <w:sz w:val="20"/>
        </w:rPr>
        <w:t xml:space="preserve">18. </w:t>
      </w:r>
      <w:hyperlink r:id="rId42">
        <w:r>
          <w:rPr>
            <w:rFonts w:ascii="Calibri" w:hAnsi="Calibri"/>
            <w:color w:val="B45309"/>
            <w:u w:val="single"/>
            <w:sz w:val="20"/>
          </w:rPr>
          <w:t>Spheron Network: GPU Cloud Providers in Africa 2026 (Cassava Technologies &amp; NVIDIA 12,000-GPU / $720M Pan-African AI Factory)</w:t>
        </w:r>
      </w:hyperlink>
    </w:p>
    <w:p>
      <w:pPr>
        <w:spacing w:before="50" w:after="70"/>
        <w:ind w:left="360" w:hanging="360"/>
      </w:pPr>
      <w:r>
        <w:rPr>
          <w:rFonts w:ascii="Calibri" w:hAnsi="Calibri"/>
          <w:b/>
          <w:color w:val="0A3D1F"/>
          <w:sz w:val="20"/>
        </w:rPr>
        <w:t xml:space="preserve">19. </w:t>
      </w:r>
      <w:hyperlink r:id="rId44">
        <w:r>
          <w:rPr>
            <w:rFonts w:ascii="Calibri" w:hAnsi="Calibri"/>
            <w:color w:val="B45309"/>
            <w:u w:val="single"/>
            <w:sz w:val="20"/>
          </w:rPr>
          <w:t>TechCabal: Will Nigeria Get Its First AI Data Centre in 2026? (Rack Centre LGS2 12 MW Campus)</w:t>
        </w:r>
      </w:hyperlink>
    </w:p>
    <w:p>
      <w:pPr>
        <w:spacing w:before="50" w:after="70"/>
        <w:ind w:left="360" w:hanging="360"/>
      </w:pPr>
      <w:r>
        <w:rPr>
          <w:rFonts w:ascii="Calibri" w:hAnsi="Calibri"/>
          <w:b/>
          <w:color w:val="0A3D1F"/>
          <w:sz w:val="20"/>
        </w:rPr>
        <w:t xml:space="preserve">20. </w:t>
      </w:r>
      <w:hyperlink r:id="rId36">
        <w:r>
          <w:rPr>
            <w:rFonts w:ascii="Calibri" w:hAnsi="Calibri"/>
            <w:color w:val="B45309"/>
            <w:u w:val="single"/>
            <w:sz w:val="20"/>
          </w:rPr>
          <w:t>Techpoint Africa: AI Infrastructure in Nigeria — The GPU Gap and FX Spreads</w:t>
        </w:r>
      </w:hyperlink>
    </w:p>
    <w:p>
      <w:pPr>
        <w:spacing w:before="50" w:after="70"/>
        <w:ind w:left="360" w:hanging="360"/>
      </w:pPr>
      <w:r>
        <w:rPr>
          <w:rFonts w:ascii="Calibri" w:hAnsi="Calibri"/>
          <w:b/>
          <w:color w:val="0A3D1F"/>
          <w:sz w:val="20"/>
        </w:rPr>
        <w:t xml:space="preserve">21. </w:t>
      </w:r>
      <w:hyperlink r:id="rId14">
        <w:r>
          <w:rPr>
            <w:rFonts w:ascii="Calibri" w:hAnsi="Calibri"/>
            <w:color w:val="B45309"/>
            <w:u w:val="single"/>
            <w:sz w:val="20"/>
          </w:rPr>
          <w:t>arXiv 2606.24460: The African Language Tax (1.88x Median to 8.92x Maximum Token Penalty Across 20 African Languages)</w:t>
        </w:r>
      </w:hyperlink>
    </w:p>
    <w:p>
      <w:pPr>
        <w:spacing w:before="50" w:after="70"/>
        <w:ind w:left="360" w:hanging="360"/>
      </w:pPr>
      <w:r>
        <w:rPr>
          <w:rFonts w:ascii="Calibri" w:hAnsi="Calibri"/>
          <w:b/>
          <w:color w:val="0A3D1F"/>
          <w:sz w:val="20"/>
        </w:rPr>
        <w:t xml:space="preserve">22. </w:t>
      </w:r>
      <w:hyperlink r:id="rId15">
        <w:r>
          <w:rPr>
            <w:rFonts w:ascii="Calibri" w:hAnsi="Calibri"/>
            <w:color w:val="B45309"/>
            <w:u w:val="single"/>
            <w:sz w:val="20"/>
          </w:rPr>
          <w:t>arXiv 2509.05486: The Token Tax (25-Point Accuracy Deficit Across 16 African Languages)</w:t>
        </w:r>
      </w:hyperlink>
    </w:p>
    <w:p>
      <w:pPr>
        <w:spacing w:before="50" w:after="70"/>
        <w:ind w:left="360" w:hanging="360"/>
      </w:pPr>
      <w:r>
        <w:rPr>
          <w:rFonts w:ascii="Calibri" w:hAnsi="Calibri"/>
          <w:b/>
          <w:color w:val="0A3D1F"/>
          <w:sz w:val="20"/>
        </w:rPr>
        <w:t xml:space="preserve">23. </w:t>
      </w:r>
      <w:hyperlink r:id="rId50">
        <w:r>
          <w:rPr>
            <w:rFonts w:ascii="Calibri" w:hAnsi="Calibri"/>
            <w:color w:val="B45309"/>
            <w:u w:val="single"/>
            <w:sz w:val="20"/>
          </w:rPr>
          <w:t>Statistics Times: Nigeria Population Projections to 2031 (~267 Million)</w:t>
        </w:r>
      </w:hyperlink>
    </w:p>
    <w:p>
      <w:pPr>
        <w:spacing w:before="50" w:after="70"/>
        <w:ind w:left="360" w:hanging="360"/>
      </w:pPr>
      <w:r>
        <w:rPr>
          <w:rFonts w:ascii="Calibri" w:hAnsi="Calibri"/>
          <w:b/>
          <w:color w:val="0A3D1F"/>
          <w:sz w:val="20"/>
        </w:rPr>
        <w:t xml:space="preserve">24. </w:t>
      </w:r>
      <w:hyperlink r:id="rId38">
        <w:r>
          <w:rPr>
            <w:rFonts w:ascii="Calibri" w:hAnsi="Calibri"/>
            <w:color w:val="B45309"/>
            <w:u w:val="single"/>
            <w:sz w:val="20"/>
          </w:rPr>
          <w:t>Techeconomy: Nigeria Internet Subscriptions Rise to 157.4 Million as Broadband Penetration Hits 56.1% in May 2026</w:t>
        </w:r>
      </w:hyperlink>
    </w:p>
    <w:p>
      <w:pPr>
        <w:spacing w:before="50" w:after="70"/>
        <w:ind w:left="360" w:hanging="360"/>
      </w:pPr>
      <w:r>
        <w:rPr>
          <w:rFonts w:ascii="Calibri" w:hAnsi="Calibri"/>
          <w:b/>
          <w:color w:val="0A3D1F"/>
          <w:sz w:val="20"/>
        </w:rPr>
        <w:t xml:space="preserve">25. </w:t>
      </w:r>
      <w:hyperlink r:id="rId35">
        <w:r>
          <w:rPr>
            <w:rFonts w:ascii="Calibri" w:hAnsi="Calibri"/>
            <w:color w:val="B45309"/>
            <w:u w:val="single"/>
            <w:sz w:val="20"/>
          </w:rPr>
          <w:t>Techeconomy: NITDA and NDPC Warn 90% of Nigerian Data is Hosted Abroad (April 2026)</w:t>
        </w:r>
      </w:hyperlink>
    </w:p>
    <w:p>
      <w:pPr>
        <w:spacing w:before="50" w:after="70"/>
        <w:ind w:left="360" w:hanging="360"/>
      </w:pPr>
      <w:r>
        <w:rPr>
          <w:rFonts w:ascii="Calibri" w:hAnsi="Calibri"/>
          <w:b/>
          <w:color w:val="0A3D1F"/>
          <w:sz w:val="20"/>
        </w:rPr>
        <w:t xml:space="preserve">26. </w:t>
      </w:r>
      <w:hyperlink r:id="rId51">
        <w:r>
          <w:rPr>
            <w:rFonts w:ascii="Calibri" w:hAnsi="Calibri"/>
            <w:color w:val="B45309"/>
            <w:u w:val="single"/>
            <w:sz w:val="20"/>
          </w:rPr>
          <w:t>Hakky: India Data Center Capacity Quadruples and IndiaAI Mission Exceeds 45,000 GPUs</w:t>
        </w:r>
      </w:hyperlink>
    </w:p>
    <w:p>
      <w:pPr>
        <w:spacing w:before="50" w:after="70"/>
        <w:ind w:left="360" w:hanging="360"/>
      </w:pPr>
      <w:r>
        <w:rPr>
          <w:rFonts w:ascii="Calibri" w:hAnsi="Calibri"/>
          <w:b/>
          <w:color w:val="0A3D1F"/>
          <w:sz w:val="20"/>
        </w:rPr>
        <w:t xml:space="preserve">27. </w:t>
      </w:r>
      <w:hyperlink r:id="rId52">
        <w:r>
          <w:rPr>
            <w:rFonts w:ascii="Calibri" w:hAnsi="Calibri"/>
            <w:color w:val="B45309"/>
            <w:u w:val="single"/>
            <w:sz w:val="20"/>
          </w:rPr>
          <w:t>Communications Today: IndiaAI Mission GPU Deployment and Rs 100/GPU-Hour Subsidised Compute Vouchers</w:t>
        </w:r>
      </w:hyperlink>
    </w:p>
    <w:p>
      <w:pPr>
        <w:spacing w:before="50" w:after="70"/>
        <w:ind w:left="360" w:hanging="360"/>
      </w:pPr>
      <w:r>
        <w:rPr>
          <w:rFonts w:ascii="Calibri" w:hAnsi="Calibri"/>
          <w:b/>
          <w:color w:val="0A3D1F"/>
          <w:sz w:val="20"/>
        </w:rPr>
        <w:t xml:space="preserve">28. </w:t>
      </w:r>
      <w:hyperlink r:id="rId53">
        <w:r>
          <w:rPr>
            <w:rFonts w:ascii="Calibri" w:hAnsi="Calibri"/>
            <w:color w:val="B45309"/>
            <w:u w:val="single"/>
            <w:sz w:val="20"/>
          </w:rPr>
          <w:t>Society for Computers and Law (SCL): UK Government Response to the AI Opportunities Action Plan (20x Sovereign Compute Expansion)</w:t>
        </w:r>
      </w:hyperlink>
    </w:p>
    <w:p>
      <w:pPr>
        <w:spacing w:before="50" w:after="70"/>
        <w:ind w:left="360" w:hanging="360"/>
      </w:pPr>
      <w:r>
        <w:rPr>
          <w:rFonts w:ascii="Calibri" w:hAnsi="Calibri"/>
          <w:b/>
          <w:color w:val="0A3D1F"/>
          <w:sz w:val="20"/>
        </w:rPr>
        <w:t xml:space="preserve">29. </w:t>
      </w:r>
      <w:hyperlink r:id="rId58">
        <w:r>
          <w:rPr>
            <w:rFonts w:ascii="Calibri" w:hAnsi="Calibri"/>
            <w:color w:val="B45309"/>
            <w:u w:val="single"/>
            <w:sz w:val="20"/>
          </w:rPr>
          <w:t>CASRAI: UK AI Opportunities Action Plan and £240M AI Security Institute Commitment</w:t>
        </w:r>
      </w:hyperlink>
    </w:p>
    <w:p>
      <w:pPr>
        <w:spacing w:before="50" w:after="70"/>
        <w:ind w:left="360" w:hanging="360"/>
      </w:pPr>
      <w:r>
        <w:rPr>
          <w:rFonts w:ascii="Calibri" w:hAnsi="Calibri"/>
          <w:b/>
          <w:color w:val="0A3D1F"/>
          <w:sz w:val="20"/>
        </w:rPr>
        <w:t xml:space="preserve">30. </w:t>
      </w:r>
      <w:hyperlink r:id="rId22">
        <w:r>
          <w:rPr>
            <w:rFonts w:ascii="Calibri" w:hAnsi="Calibri"/>
            <w:color w:val="B45309"/>
            <w:u w:val="single"/>
            <w:sz w:val="20"/>
          </w:rPr>
          <w:t>Abachy (citing IBS): $28 Billion Cost to Build a 2nm Wafer Fab and $20 Billion for 3nm</w:t>
        </w:r>
      </w:hyperlink>
    </w:p>
    <w:p>
      <w:pPr>
        <w:spacing w:before="50" w:after="70"/>
        <w:ind w:left="360" w:hanging="360"/>
      </w:pPr>
      <w:r>
        <w:rPr>
          <w:rFonts w:ascii="Calibri" w:hAnsi="Calibri"/>
          <w:b/>
          <w:color w:val="0A3D1F"/>
          <w:sz w:val="20"/>
        </w:rPr>
        <w:t xml:space="preserve">31. </w:t>
      </w:r>
      <w:hyperlink r:id="rId56">
        <w:r>
          <w:rPr>
            <w:rFonts w:ascii="Calibri" w:hAnsi="Calibri"/>
            <w:color w:val="B45309"/>
            <w:u w:val="single"/>
            <w:sz w:val="20"/>
          </w:rPr>
          <w:t>Observer Research Foundation (ORF): Kigali Summit Lays the Groundwork for Africa's AI Future ($60 Billion Africa AI Fund)</w:t>
        </w:r>
      </w:hyperlink>
    </w:p>
    <w:p>
      <w:pPr>
        <w:spacing w:before="50" w:after="70"/>
        <w:ind w:left="360" w:hanging="360"/>
      </w:pPr>
      <w:r>
        <w:rPr>
          <w:rFonts w:ascii="Calibri" w:hAnsi="Calibri"/>
          <w:b/>
          <w:color w:val="0A3D1F"/>
          <w:sz w:val="20"/>
        </w:rPr>
        <w:t xml:space="preserve">32. </w:t>
      </w:r>
      <w:hyperlink r:id="rId71">
        <w:r>
          <w:rPr>
            <w:rFonts w:ascii="Calibri" w:hAnsi="Calibri"/>
            <w:color w:val="B45309"/>
            <w:u w:val="single"/>
            <w:sz w:val="20"/>
          </w:rPr>
          <w:t>TechAfrica News: The AU's Question — What 55 Countries Need to Agree on Before Africa Can Govern AI (September 2026)</w:t>
        </w:r>
      </w:hyperlink>
    </w:p>
    <w:p>
      <w:pPr>
        <w:spacing w:before="50" w:after="70"/>
        <w:ind w:left="360" w:hanging="360"/>
      </w:pPr>
      <w:r>
        <w:rPr>
          <w:rFonts w:ascii="Calibri" w:hAnsi="Calibri"/>
          <w:b/>
          <w:color w:val="0A3D1F"/>
          <w:sz w:val="20"/>
        </w:rPr>
        <w:t xml:space="preserve">33. </w:t>
      </w:r>
      <w:hyperlink r:id="rId72">
        <w:r>
          <w:rPr>
            <w:rFonts w:ascii="Calibri" w:hAnsi="Calibri"/>
            <w:color w:val="B45309"/>
            <w:u w:val="single"/>
            <w:sz w:val="20"/>
          </w:rPr>
          <w:t>IT Online: African Ministers Back Shared Continental AI Infrastructure</w:t>
        </w:r>
      </w:hyperlink>
    </w:p>
    <w:p>
      <w:pPr>
        <w:keepNext/>
        <w:spacing w:before="220" w:after="80"/>
      </w:pPr>
      <w:r>
        <w:rPr>
          <w:rFonts w:ascii="Calibri" w:hAnsi="Calibri"/>
          <w:b/>
          <w:color w:val="0A3D1F"/>
          <w:sz w:val="23"/>
        </w:rPr>
        <w:t>B. PPP Law, Tax Legislation, and Blockchain Governance</w:t>
      </w:r>
    </w:p>
    <w:p>
      <w:pPr>
        <w:spacing w:before="50" w:after="70"/>
        <w:ind w:left="360" w:hanging="360"/>
      </w:pPr>
      <w:r>
        <w:rPr>
          <w:rFonts w:ascii="Calibri" w:hAnsi="Calibri"/>
          <w:b/>
          <w:color w:val="0A3D1F"/>
          <w:sz w:val="20"/>
        </w:rPr>
        <w:t xml:space="preserve">34. </w:t>
      </w:r>
      <w:hyperlink r:id="rId45">
        <w:r>
          <w:rPr>
            <w:rFonts w:ascii="Calibri" w:hAnsi="Calibri"/>
            <w:color w:val="B45309"/>
            <w:u w:val="single"/>
            <w:sz w:val="20"/>
          </w:rPr>
          <w:t>Infrastructure Concession Regulatory Commission (ICRC): Redefining PPP Delivery in Nigeria (August 2026 WEF Brief)</w:t>
        </w:r>
      </w:hyperlink>
    </w:p>
    <w:p>
      <w:pPr>
        <w:spacing w:before="50" w:after="70"/>
        <w:ind w:left="360" w:hanging="360"/>
      </w:pPr>
      <w:r>
        <w:rPr>
          <w:rFonts w:ascii="Calibri" w:hAnsi="Calibri"/>
          <w:b/>
          <w:color w:val="0A3D1F"/>
          <w:sz w:val="20"/>
        </w:rPr>
        <w:t xml:space="preserve">35. </w:t>
      </w:r>
      <w:hyperlink r:id="rId48">
        <w:r>
          <w:rPr>
            <w:rFonts w:ascii="Calibri" w:hAnsi="Calibri"/>
            <w:color w:val="B45309"/>
            <w:u w:val="single"/>
            <w:sz w:val="20"/>
          </w:rPr>
          <w:t>News Agency of Nigeria (NAN): Beyond Guidelines — How ICRC's June 2026 Model PPP Agreement Drives Infrastructure Investment</w:t>
        </w:r>
      </w:hyperlink>
    </w:p>
    <w:p>
      <w:pPr>
        <w:spacing w:before="50" w:after="70"/>
        <w:ind w:left="360" w:hanging="360"/>
      </w:pPr>
      <w:r>
        <w:rPr>
          <w:rFonts w:ascii="Calibri" w:hAnsi="Calibri"/>
          <w:b/>
          <w:color w:val="0A3D1F"/>
          <w:sz w:val="20"/>
        </w:rPr>
        <w:t xml:space="preserve">36. </w:t>
      </w:r>
      <w:hyperlink r:id="rId49">
        <w:r>
          <w:rPr>
            <w:rFonts w:ascii="Calibri" w:hAnsi="Calibri"/>
            <w:color w:val="B45309"/>
            <w:u w:val="single"/>
            <w:sz w:val="20"/>
          </w:rPr>
          <w:t>Voice of Nigeria (VON): ICRC Unveils New PPP Guidelines to Improve Infrastructure Delivery (NGN 10B / NGN 20B Fast-Track Thresholds)</w:t>
        </w:r>
      </w:hyperlink>
    </w:p>
    <w:p>
      <w:pPr>
        <w:spacing w:before="50" w:after="70"/>
        <w:ind w:left="360" w:hanging="360"/>
      </w:pPr>
      <w:r>
        <w:rPr>
          <w:rFonts w:ascii="Calibri" w:hAnsi="Calibri"/>
          <w:b/>
          <w:color w:val="0A3D1F"/>
          <w:sz w:val="20"/>
        </w:rPr>
        <w:t xml:space="preserve">37. </w:t>
      </w:r>
      <w:hyperlink r:id="rId19">
        <w:r>
          <w:rPr>
            <w:rFonts w:ascii="Calibri" w:hAnsi="Calibri"/>
            <w:color w:val="B45309"/>
            <w:u w:val="single"/>
            <w:sz w:val="20"/>
          </w:rPr>
          <w:t>News Agency of Nigeria (NAN): Nigerian PPP Model Becomes Template for $3.1bn AfCFTA Customs Project (August 2026)</w:t>
        </w:r>
      </w:hyperlink>
    </w:p>
    <w:p>
      <w:pPr>
        <w:spacing w:before="50" w:after="70"/>
        <w:ind w:left="360" w:hanging="360"/>
      </w:pPr>
      <w:r>
        <w:rPr>
          <w:rFonts w:ascii="Calibri" w:hAnsi="Calibri"/>
          <w:b/>
          <w:color w:val="0A3D1F"/>
          <w:sz w:val="20"/>
        </w:rPr>
        <w:t xml:space="preserve">38. </w:t>
      </w:r>
      <w:hyperlink r:id="rId23">
        <w:r>
          <w:rPr>
            <w:rFonts w:ascii="Calibri" w:hAnsi="Calibri"/>
            <w:color w:val="B45309"/>
            <w:u w:val="single"/>
            <w:sz w:val="20"/>
          </w:rPr>
          <w:t>dig.watch: National Blockchain Policy for Nigeria (Approved May 2023)</w:t>
        </w:r>
      </w:hyperlink>
    </w:p>
    <w:p>
      <w:pPr>
        <w:spacing w:before="50" w:after="70"/>
        <w:ind w:left="360" w:hanging="360"/>
      </w:pPr>
      <w:r>
        <w:rPr>
          <w:rFonts w:ascii="Calibri" w:hAnsi="Calibri"/>
          <w:b/>
          <w:color w:val="0A3D1F"/>
          <w:sz w:val="20"/>
        </w:rPr>
        <w:t xml:space="preserve">39. </w:t>
      </w:r>
      <w:hyperlink r:id="rId60">
        <w:r>
          <w:rPr>
            <w:rFonts w:ascii="Calibri" w:hAnsi="Calibri"/>
            <w:color w:val="B45309"/>
            <w:u w:val="single"/>
            <w:sz w:val="20"/>
          </w:rPr>
          <w:t>PwC Nigeria: The Nigerian Tax Reform Acts and the Economic Development Incentive (EDI)</w:t>
        </w:r>
      </w:hyperlink>
    </w:p>
    <w:p>
      <w:pPr>
        <w:spacing w:before="50" w:after="70"/>
        <w:ind w:left="360" w:hanging="360"/>
      </w:pPr>
      <w:r>
        <w:rPr>
          <w:rFonts w:ascii="Calibri" w:hAnsi="Calibri"/>
          <w:b/>
          <w:color w:val="0A3D1F"/>
          <w:sz w:val="20"/>
        </w:rPr>
        <w:t xml:space="preserve">40. </w:t>
      </w:r>
      <w:hyperlink r:id="rId66">
        <w:r>
          <w:rPr>
            <w:rFonts w:ascii="Calibri" w:hAnsi="Calibri"/>
            <w:color w:val="B45309"/>
            <w:u w:val="single"/>
            <w:sz w:val="20"/>
          </w:rPr>
          <w:t>BusinessDay: Economic Competitiveness — What You Need to Know About Nigeria's New Tax Laws (4% Development Levy)</w:t>
        </w:r>
      </w:hyperlink>
    </w:p>
    <w:p>
      <w:pPr>
        <w:spacing w:before="50" w:after="70"/>
        <w:ind w:left="360" w:hanging="360"/>
      </w:pPr>
      <w:r>
        <w:rPr>
          <w:rFonts w:ascii="Calibri" w:hAnsi="Calibri"/>
          <w:b/>
          <w:color w:val="0A3D1F"/>
          <w:sz w:val="20"/>
        </w:rPr>
        <w:t xml:space="preserve">41. </w:t>
      </w:r>
      <w:hyperlink r:id="rId46">
        <w:r>
          <w:rPr>
            <w:rFonts w:ascii="Calibri" w:hAnsi="Calibri"/>
            <w:color w:val="B45309"/>
            <w:u w:val="single"/>
            <w:sz w:val="20"/>
          </w:rPr>
          <w:t>KPMG: Nigeria Tax Act 2025 Reforms, Development Levy, and Significant Economic Presence (SEP) Rules (June 2026)</w:t>
        </w:r>
      </w:hyperlink>
    </w:p>
    <w:p>
      <w:pPr>
        <w:spacing w:before="50" w:after="70"/>
        <w:ind w:left="360" w:hanging="360"/>
      </w:pPr>
      <w:r>
        <w:rPr>
          <w:rFonts w:ascii="Calibri" w:hAnsi="Calibri"/>
          <w:b/>
          <w:color w:val="0A3D1F"/>
          <w:sz w:val="20"/>
        </w:rPr>
        <w:t xml:space="preserve">42. </w:t>
      </w:r>
      <w:hyperlink r:id="rId64">
        <w:r>
          <w:rPr>
            <w:rFonts w:ascii="Calibri" w:hAnsi="Calibri"/>
            <w:color w:val="B45309"/>
            <w:u w:val="single"/>
            <w:sz w:val="20"/>
          </w:rPr>
          <w:t>Techloy: Nigeria's Central Bank Withdraws the Controversial 0.5% Cybersecurity Levy (May 2024)</w:t>
        </w:r>
      </w:hyperlink>
    </w:p>
    <w:p>
      <w:pPr>
        <w:spacing w:before="50" w:after="70"/>
        <w:ind w:left="360" w:hanging="360"/>
      </w:pPr>
      <w:r>
        <w:rPr>
          <w:rFonts w:ascii="Calibri" w:hAnsi="Calibri"/>
          <w:b/>
          <w:color w:val="0A3D1F"/>
          <w:sz w:val="20"/>
        </w:rPr>
        <w:t xml:space="preserve">43. </w:t>
      </w:r>
      <w:hyperlink r:id="rId67">
        <w:r>
          <w:rPr>
            <w:rFonts w:ascii="Calibri" w:hAnsi="Calibri"/>
            <w:color w:val="B45309"/>
            <w:u w:val="single"/>
            <w:sz w:val="20"/>
          </w:rPr>
          <w:t>BusinessDay: 2026 Fiscal Policy Measures and the ECOWAS Import Adjustment Tax (192 Tariff Lines)</w:t>
        </w:r>
      </w:hyperlink>
    </w:p>
    <w:p>
      <w:pPr>
        <w:spacing w:before="50" w:after="70"/>
        <w:ind w:left="360" w:hanging="360"/>
      </w:pPr>
      <w:r>
        <w:rPr>
          <w:rFonts w:ascii="Calibri" w:hAnsi="Calibri"/>
          <w:b/>
          <w:color w:val="0A3D1F"/>
          <w:sz w:val="20"/>
        </w:rPr>
        <w:t xml:space="preserve">44. </w:t>
      </w:r>
      <w:hyperlink r:id="rId65">
        <w:r>
          <w:rPr>
            <w:rFonts w:ascii="Calibri" w:hAnsi="Calibri"/>
            <w:color w:val="B45309"/>
            <w:u w:val="single"/>
            <w:sz w:val="20"/>
          </w:rPr>
          <w:t>TimesLive: Nigeria Suspends 4% Levy on Imports After Industry Backlash (September 2025)</w:t>
        </w:r>
      </w:hyperlink>
    </w:p>
    <w:p>
      <w:pPr>
        <w:keepNext/>
        <w:spacing w:before="220" w:after="80"/>
      </w:pPr>
      <w:r>
        <w:rPr>
          <w:rFonts w:ascii="Calibri" w:hAnsi="Calibri"/>
          <w:b/>
          <w:color w:val="0A3D1F"/>
          <w:sz w:val="23"/>
        </w:rPr>
        <w:t>C. Companion Frameworks, National Traceability (Annex A), and Trade Flows Second Brain (Annex B)</w:t>
      </w:r>
    </w:p>
    <w:p>
      <w:pPr>
        <w:spacing w:before="50" w:after="70"/>
        <w:ind w:left="360" w:hanging="360"/>
      </w:pPr>
      <w:r>
        <w:rPr>
          <w:rFonts w:ascii="Calibri" w:hAnsi="Calibri"/>
          <w:b/>
          <w:color w:val="0A3D1F"/>
          <w:sz w:val="20"/>
        </w:rPr>
        <w:t xml:space="preserve">45. </w:t>
      </w:r>
      <w:hyperlink r:id="rId74">
        <w:r>
          <w:rPr>
            <w:rFonts w:ascii="Calibri" w:hAnsi="Calibri"/>
            <w:color w:val="B45309"/>
            <w:u w:val="single"/>
            <w:sz w:val="20"/>
          </w:rPr>
          <w:t>Benevolent Tokenomics Policy Brief: AI Tokens for Africa's Low-Hanging Problems (Claude Artifact)</w:t>
        </w:r>
      </w:hyperlink>
    </w:p>
    <w:p>
      <w:pPr>
        <w:spacing w:before="50" w:after="70"/>
        <w:ind w:left="360" w:hanging="360"/>
      </w:pPr>
      <w:r>
        <w:rPr>
          <w:rFonts w:ascii="Calibri" w:hAnsi="Calibri"/>
          <w:b/>
          <w:color w:val="0A3D1F"/>
          <w:sz w:val="20"/>
        </w:rPr>
        <w:t xml:space="preserve">46. </w:t>
      </w:r>
      <w:hyperlink r:id="rId61">
        <w:r>
          <w:rPr>
            <w:rFonts w:ascii="Calibri" w:hAnsi="Calibri"/>
            <w:color w:val="B45309"/>
            <w:u w:val="single"/>
            <w:sz w:val="20"/>
          </w:rPr>
          <w:t>AI Africa Abundance: Open Mission Site for The Oracle and the Partner: Africa's Path to an Age of Abundance (White Paper v3.1 &amp; 52 Development Oracles)</w:t>
        </w:r>
      </w:hyperlink>
    </w:p>
    <w:p>
      <w:pPr>
        <w:spacing w:before="50" w:after="70"/>
        <w:ind w:left="360" w:hanging="360"/>
      </w:pPr>
      <w:r>
        <w:rPr>
          <w:rFonts w:ascii="Calibri" w:hAnsi="Calibri"/>
          <w:b/>
          <w:color w:val="0A3D1F"/>
          <w:sz w:val="20"/>
        </w:rPr>
        <w:t xml:space="preserve">47. </w:t>
      </w:r>
      <w:hyperlink r:id="rId62">
        <w:r>
          <w:rPr>
            <w:rFonts w:ascii="Calibri" w:hAnsi="Calibri"/>
            <w:color w:val="B45309"/>
            <w:u w:val="single"/>
            <w:sz w:val="20"/>
          </w:rPr>
          <w:t>GitHub Repository: Oraquul / AI-Africa-Abundance (52 Oracle Specifications &amp; Schemas)</w:t>
        </w:r>
      </w:hyperlink>
    </w:p>
    <w:p>
      <w:pPr>
        <w:spacing w:before="50" w:after="70"/>
        <w:ind w:left="360" w:hanging="360"/>
      </w:pPr>
      <w:r>
        <w:rPr>
          <w:rFonts w:ascii="Calibri" w:hAnsi="Calibri"/>
          <w:b/>
          <w:color w:val="0A3D1F"/>
          <w:sz w:val="20"/>
        </w:rPr>
        <w:t xml:space="preserve">48. </w:t>
      </w:r>
      <w:hyperlink r:id="rId26">
        <w:r>
          <w:rPr>
            <w:rFonts w:ascii="Calibri" w:hAnsi="Calibri"/>
            <w:color w:val="B45309"/>
            <w:u w:val="single"/>
            <w:sz w:val="20"/>
          </w:rPr>
          <w:t>BusinessDay: Nigeria Moves to Stop $4bn Export Losses, Signs Agric Traceability Deal with NASRDA (FMAFS–NASRDA MoU, 26 November 2025)</w:t>
        </w:r>
      </w:hyperlink>
    </w:p>
    <w:p>
      <w:pPr>
        <w:spacing w:before="50" w:after="70"/>
        <w:ind w:left="360" w:hanging="360"/>
      </w:pPr>
      <w:r>
        <w:rPr>
          <w:rFonts w:ascii="Calibri" w:hAnsi="Calibri"/>
          <w:b/>
          <w:color w:val="0A3D1F"/>
          <w:sz w:val="20"/>
        </w:rPr>
        <w:t xml:space="preserve">49. </w:t>
      </w:r>
      <w:hyperlink r:id="rId68">
        <w:r>
          <w:rPr>
            <w:rFonts w:ascii="Calibri" w:hAnsi="Calibri"/>
            <w:color w:val="B45309"/>
            <w:u w:val="single"/>
            <w:sz w:val="20"/>
          </w:rPr>
          <w:t>Public Service AI Observatory and Think Tank: Practitioner Playbook and Evaluation Protocols</w:t>
        </w:r>
      </w:hyperlink>
    </w:p>
    <w:p>
      <w:pPr>
        <w:spacing w:before="50" w:after="70"/>
        <w:ind w:left="360" w:hanging="360"/>
      </w:pPr>
      <w:r>
        <w:rPr>
          <w:rFonts w:ascii="Calibri" w:hAnsi="Calibri"/>
          <w:b/>
          <w:color w:val="0A3D1F"/>
          <w:sz w:val="20"/>
        </w:rPr>
        <w:t xml:space="preserve">50. </w:t>
      </w:r>
      <w:hyperlink r:id="rId70">
        <w:r>
          <w:rPr>
            <w:rFonts w:ascii="Calibri" w:hAnsi="Calibri"/>
            <w:color w:val="B45309"/>
            <w:u w:val="single"/>
            <w:sz w:val="20"/>
          </w:rPr>
          <w:t>AI Africa Observatory: Daily Briefs on AI Breakthroughs for African Development (YouTube Playlist)</w:t>
        </w:r>
      </w:hyperlink>
    </w:p>
    <w:p>
      <w:pPr>
        <w:spacing w:before="50" w:after="70"/>
        <w:ind w:left="360" w:hanging="360"/>
      </w:pPr>
      <w:r>
        <w:rPr>
          <w:rFonts w:ascii="Calibri" w:hAnsi="Calibri"/>
          <w:b/>
          <w:color w:val="0A3D1F"/>
          <w:sz w:val="20"/>
        </w:rPr>
        <w:t xml:space="preserve">51. </w:t>
      </w:r>
      <w:hyperlink r:id="rId86">
        <w:r>
          <w:rPr>
            <w:rFonts w:ascii="Calibri" w:hAnsi="Calibri"/>
            <w:color w:val="B45309"/>
            <w:u w:val="single"/>
            <w:sz w:val="20"/>
          </w:rPr>
          <w:t>ExportReady Africa: AI Advisory Platform and Ada Navigator for African SME Exporters</w:t>
        </w:r>
      </w:hyperlink>
    </w:p>
    <w:p>
      <w:pPr>
        <w:spacing w:before="50" w:after="70"/>
        <w:ind w:left="360" w:hanging="360"/>
      </w:pPr>
      <w:r>
        <w:rPr>
          <w:rFonts w:ascii="Calibri" w:hAnsi="Calibri"/>
          <w:b/>
          <w:color w:val="0A3D1F"/>
          <w:sz w:val="20"/>
        </w:rPr>
        <w:t xml:space="preserve">52. </w:t>
      </w:r>
      <w:hyperlink r:id="rId87">
        <w:r>
          <w:rPr>
            <w:rFonts w:ascii="Calibri" w:hAnsi="Calibri"/>
            <w:color w:val="B45309"/>
            <w:u w:val="single"/>
            <w:sz w:val="20"/>
          </w:rPr>
          <w:t>ExportReady Africa: Approach, eBDSP Readiness Frameworks, and Traceability Architecture</w:t>
        </w:r>
      </w:hyperlink>
    </w:p>
    <w:p>
      <w:pPr>
        <w:spacing w:before="50" w:after="70"/>
        <w:ind w:left="360" w:hanging="360"/>
      </w:pPr>
      <w:r>
        <w:rPr>
          <w:rFonts w:ascii="Calibri" w:hAnsi="Calibri"/>
          <w:b/>
          <w:color w:val="0A3D1F"/>
          <w:sz w:val="20"/>
        </w:rPr>
        <w:t xml:space="preserve">53. </w:t>
      </w:r>
      <w:hyperlink r:id="rId27">
        <w:r>
          <w:rPr>
            <w:rFonts w:ascii="Calibri" w:hAnsi="Calibri"/>
            <w:color w:val="B45309"/>
            <w:u w:val="single"/>
            <w:sz w:val="20"/>
          </w:rPr>
          <w:t>News Agency of Nigeria (NAN): Nigeria's Non-Oil Exports Hit $6.1bn in 2025 Across 280 Products (NEPC Report)</w:t>
        </w:r>
      </w:hyperlink>
    </w:p>
    <w:p>
      <w:pPr>
        <w:spacing w:before="50" w:after="70"/>
        <w:ind w:left="360" w:hanging="360"/>
      </w:pPr>
      <w:r>
        <w:rPr>
          <w:rFonts w:ascii="Calibri" w:hAnsi="Calibri"/>
          <w:b/>
          <w:color w:val="0A3D1F"/>
          <w:sz w:val="20"/>
        </w:rPr>
        <w:t xml:space="preserve">54. </w:t>
      </w:r>
      <w:hyperlink r:id="rId84">
        <w:r>
          <w:rPr>
            <w:rFonts w:ascii="Calibri" w:hAnsi="Calibri"/>
            <w:color w:val="B45309"/>
            <w:u w:val="single"/>
            <w:sz w:val="20"/>
          </w:rPr>
          <w:t>allAfrica (reporting NEPC): Cocoa Beans, Urea, Others Lead as Non-Oil Exports Hit $6.1bn in 2025</w:t>
        </w:r>
      </w:hyperlink>
    </w:p>
    <w:p>
      <w:pPr>
        <w:spacing w:before="50" w:after="70"/>
        <w:ind w:left="360" w:hanging="360"/>
      </w:pPr>
      <w:r>
        <w:rPr>
          <w:rFonts w:ascii="Calibri" w:hAnsi="Calibri"/>
          <w:b/>
          <w:color w:val="0A3D1F"/>
          <w:sz w:val="20"/>
        </w:rPr>
        <w:t xml:space="preserve">55. </w:t>
      </w:r>
      <w:hyperlink r:id="rId77">
        <w:r>
          <w:rPr>
            <w:rFonts w:ascii="Calibri" w:hAnsi="Calibri"/>
            <w:color w:val="B45309"/>
            <w:u w:val="single"/>
            <w:sz w:val="20"/>
          </w:rPr>
          <w:t>BusinessDay: Cocoa Leads Non-Oil Exports, Accounts for 41% of Total Value in H1 2025</w:t>
        </w:r>
      </w:hyperlink>
    </w:p>
    <w:p>
      <w:pPr>
        <w:spacing w:before="50" w:after="70"/>
        <w:ind w:left="360" w:hanging="360"/>
      </w:pPr>
      <w:r>
        <w:rPr>
          <w:rFonts w:ascii="Calibri" w:hAnsi="Calibri"/>
          <w:b/>
          <w:color w:val="0A3D1F"/>
          <w:sz w:val="20"/>
        </w:rPr>
        <w:t xml:space="preserve">56. </w:t>
      </w:r>
      <w:hyperlink r:id="rId85">
        <w:r>
          <w:rPr>
            <w:rFonts w:ascii="Calibri" w:hAnsi="Calibri"/>
            <w:color w:val="B45309"/>
            <w:u w:val="single"/>
            <w:sz w:val="20"/>
          </w:rPr>
          <w:t>Bam Magazine: NEPC Targets $10bn Non-Oil Exports from South-West Region by 2035</w:t>
        </w:r>
      </w:hyperlink>
    </w:p>
    <w:p>
      <w:pPr>
        <w:spacing w:before="50" w:after="70"/>
        <w:ind w:left="360" w:hanging="360"/>
      </w:pPr>
      <w:r>
        <w:rPr>
          <w:rFonts w:ascii="Calibri" w:hAnsi="Calibri"/>
          <w:b/>
          <w:color w:val="0A3D1F"/>
          <w:sz w:val="20"/>
        </w:rPr>
        <w:t xml:space="preserve">57. </w:t>
      </w:r>
      <w:hyperlink r:id="rId78">
        <w:r>
          <w:rPr>
            <w:rFonts w:ascii="Calibri" w:hAnsi="Calibri"/>
            <w:color w:val="B45309"/>
            <w:u w:val="single"/>
            <w:sz w:val="20"/>
          </w:rPr>
          <w:t>Arise News: Fertiliser Exports Hit N1.37tn in Q1 2026 (NBS Trade Data, Including N596.9bn Q1 Cocoa Exports)</w:t>
        </w:r>
      </w:hyperlink>
    </w:p>
    <w:p>
      <w:pPr>
        <w:spacing w:before="50" w:after="70"/>
        <w:ind w:left="360" w:hanging="360"/>
      </w:pPr>
      <w:r>
        <w:rPr>
          <w:rFonts w:ascii="Calibri" w:hAnsi="Calibri"/>
          <w:b/>
          <w:color w:val="0A3D1F"/>
          <w:sz w:val="20"/>
        </w:rPr>
        <w:t xml:space="preserve">58. </w:t>
      </w:r>
      <w:hyperlink r:id="rId76">
        <w:r>
          <w:rPr>
            <w:rFonts w:ascii="Calibri" w:hAnsi="Calibri"/>
            <w:color w:val="B45309"/>
            <w:u w:val="single"/>
            <w:sz w:val="20"/>
          </w:rPr>
          <w:t>Trading Economics (UN Comtrade): Nigeria Exports by Category (2025 HS Chapter 18 Cocoa at $2.37B)</w:t>
        </w:r>
      </w:hyperlink>
    </w:p>
    <w:p>
      <w:pPr>
        <w:spacing w:before="50" w:after="70"/>
        <w:ind w:left="360" w:hanging="360"/>
      </w:pPr>
      <w:r>
        <w:rPr>
          <w:rFonts w:ascii="Calibri" w:hAnsi="Calibri"/>
          <w:b/>
          <w:color w:val="0A3D1F"/>
          <w:sz w:val="20"/>
        </w:rPr>
        <w:t xml:space="preserve">59. </w:t>
      </w:r>
      <w:hyperlink r:id="rId75">
        <w:r>
          <w:rPr>
            <w:rFonts w:ascii="Calibri" w:hAnsi="Calibri"/>
            <w:color w:val="B45309"/>
            <w:u w:val="single"/>
            <w:sz w:val="20"/>
          </w:rPr>
          <w:t>TrendEconomy (UN Comtrade): Nigeria Annual International Trade Statistics — Total and HS 1801 Cocoa Beans</w:t>
        </w:r>
      </w:hyperlink>
    </w:p>
    <w:p>
      <w:pPr>
        <w:spacing w:before="50" w:after="70"/>
        <w:ind w:left="360" w:hanging="360"/>
      </w:pPr>
      <w:r>
        <w:rPr>
          <w:rFonts w:ascii="Calibri" w:hAnsi="Calibri"/>
          <w:b/>
          <w:color w:val="0A3D1F"/>
          <w:sz w:val="20"/>
        </w:rPr>
        <w:t xml:space="preserve">60. </w:t>
      </w:r>
      <w:hyperlink r:id="rId88">
        <w:r>
          <w:rPr>
            <w:rFonts w:ascii="Calibri" w:hAnsi="Calibri"/>
            <w:color w:val="B45309"/>
            <w:u w:val="single"/>
            <w:sz w:val="20"/>
          </w:rPr>
          <w:t>TrendEconomy (UN Comtrade): Nigeria Annual International Trade Statistics — All Products</w:t>
        </w:r>
      </w:hyperlink>
    </w:p>
    <w:p>
      <w:pPr>
        <w:spacing w:before="50" w:after="70"/>
        <w:ind w:left="360" w:hanging="360"/>
      </w:pPr>
      <w:r>
        <w:rPr>
          <w:rFonts w:ascii="Calibri" w:hAnsi="Calibri"/>
          <w:b/>
          <w:color w:val="0A3D1F"/>
          <w:sz w:val="20"/>
        </w:rPr>
        <w:t xml:space="preserve">61. </w:t>
      </w:r>
      <w:hyperlink r:id="rId89">
        <w:r>
          <w:rPr>
            <w:rFonts w:ascii="Calibri" w:hAnsi="Calibri"/>
            <w:color w:val="B45309"/>
            <w:u w:val="single"/>
            <w:sz w:val="20"/>
          </w:rPr>
          <w:t>World Bank WITS (UN Comtrade): Nigeria Urea Exports by Destination Country (HS 310210)</w:t>
        </w:r>
      </w:hyperlink>
    </w:p>
    <w:p>
      <w:pPr>
        <w:spacing w:before="50" w:after="70"/>
        <w:ind w:left="360" w:hanging="360"/>
      </w:pPr>
      <w:r>
        <w:rPr>
          <w:rFonts w:ascii="Calibri" w:hAnsi="Calibri"/>
          <w:b/>
          <w:color w:val="0A3D1F"/>
          <w:sz w:val="20"/>
        </w:rPr>
        <w:t xml:space="preserve">62. </w:t>
      </w:r>
      <w:hyperlink r:id="rId79">
        <w:r>
          <w:rPr>
            <w:rFonts w:ascii="Calibri" w:hAnsi="Calibri"/>
            <w:color w:val="B45309"/>
            <w:u w:val="single"/>
            <w:sz w:val="20"/>
          </w:rPr>
          <w:t>Trading Economics (UN Comtrade): Nigeria Exports of Cocoa to the Netherlands ($961.6M in 2025)</w:t>
        </w:r>
      </w:hyperlink>
    </w:p>
    <w:p>
      <w:pPr>
        <w:spacing w:before="50" w:after="70"/>
        <w:ind w:left="360" w:hanging="360"/>
      </w:pPr>
      <w:r>
        <w:rPr>
          <w:rFonts w:ascii="Calibri" w:hAnsi="Calibri"/>
          <w:b/>
          <w:color w:val="0A3D1F"/>
          <w:sz w:val="20"/>
        </w:rPr>
        <w:t xml:space="preserve">63. </w:t>
      </w:r>
      <w:hyperlink r:id="rId80">
        <w:r>
          <w:rPr>
            <w:rFonts w:ascii="Calibri" w:hAnsi="Calibri"/>
            <w:color w:val="B45309"/>
            <w:u w:val="single"/>
            <w:sz w:val="20"/>
          </w:rPr>
          <w:t>Trading Economics (UN Comtrade): Nigeria Exports of Cocoa to Belgium ($427.5M in 2025)</w:t>
        </w:r>
      </w:hyperlink>
    </w:p>
    <w:p>
      <w:pPr>
        <w:spacing w:before="50" w:after="70"/>
        <w:ind w:left="360" w:hanging="360"/>
      </w:pPr>
      <w:r>
        <w:rPr>
          <w:rFonts w:ascii="Calibri" w:hAnsi="Calibri"/>
          <w:b/>
          <w:color w:val="0A3D1F"/>
          <w:sz w:val="20"/>
        </w:rPr>
        <w:t xml:space="preserve">64. </w:t>
      </w:r>
      <w:hyperlink r:id="rId90">
        <w:r>
          <w:rPr>
            <w:rFonts w:ascii="Calibri" w:hAnsi="Calibri"/>
            <w:color w:val="B45309"/>
            <w:u w:val="single"/>
            <w:sz w:val="20"/>
          </w:rPr>
          <w:t>Premium Times (citing US Mission): Nigeria's Cocoa Exports to US Surge to $142m in 2025</w:t>
        </w:r>
      </w:hyperlink>
    </w:p>
    <w:p>
      <w:pPr>
        <w:spacing w:before="50" w:after="70"/>
        <w:ind w:left="360" w:hanging="360"/>
      </w:pPr>
      <w:r>
        <w:rPr>
          <w:rFonts w:ascii="Calibri" w:hAnsi="Calibri"/>
          <w:b/>
          <w:color w:val="0A3D1F"/>
          <w:sz w:val="20"/>
        </w:rPr>
        <w:t xml:space="preserve">65. </w:t>
      </w:r>
      <w:hyperlink r:id="rId81">
        <w:r>
          <w:rPr>
            <w:rFonts w:ascii="Calibri" w:hAnsi="Calibri"/>
            <w:color w:val="B45309"/>
            <w:u w:val="single"/>
            <w:sz w:val="20"/>
          </w:rPr>
          <w:t>European Commission Access2Markets: Implementation of the EU Deforestation Regulation (EUDR) to 30 December 2026</w:t>
        </w:r>
      </w:hyperlink>
    </w:p>
    <w:p>
      <w:pPr>
        <w:spacing w:before="50" w:after="70"/>
        <w:ind w:left="360" w:hanging="360"/>
      </w:pPr>
      <w:r>
        <w:rPr>
          <w:rFonts w:ascii="Calibri" w:hAnsi="Calibri"/>
          <w:b/>
          <w:color w:val="0A3D1F"/>
          <w:sz w:val="20"/>
        </w:rPr>
        <w:t xml:space="preserve">66. </w:t>
      </w:r>
      <w:hyperlink r:id="rId82">
        <w:r>
          <w:rPr>
            <w:rFonts w:ascii="Calibri" w:hAnsi="Calibri"/>
            <w:color w:val="B45309"/>
            <w:u w:val="single"/>
            <w:sz w:val="20"/>
          </w:rPr>
          <w:t>Ropes &amp; Gray: European Commission Country Risk Classifications for EUDR</w:t>
        </w:r>
      </w:hyperlink>
    </w:p>
    <w:p>
      <w:pPr>
        <w:spacing w:before="50" w:after="70"/>
        <w:ind w:left="360" w:hanging="360"/>
      </w:pPr>
      <w:r>
        <w:rPr>
          <w:rFonts w:ascii="Calibri" w:hAnsi="Calibri"/>
          <w:b/>
          <w:color w:val="0A3D1F"/>
          <w:sz w:val="20"/>
        </w:rPr>
        <w:t xml:space="preserve">67. </w:t>
      </w:r>
      <w:hyperlink r:id="rId91">
        <w:r>
          <w:rPr>
            <w:rFonts w:ascii="Calibri" w:hAnsi="Calibri"/>
            <w:color w:val="B45309"/>
            <w:u w:val="single"/>
            <w:sz w:val="20"/>
          </w:rPr>
          <w:t>Herbert Smith Freehills Kramer: Operationalisation and Simplification of the EU Carbon Border Adjustment Mechanism (CBAM)</w:t>
        </w:r>
      </w:hyperlink>
    </w:p>
    <w:p>
      <w:pPr>
        <w:spacing w:before="50" w:after="70"/>
        <w:ind w:left="360" w:hanging="360"/>
      </w:pPr>
      <w:r>
        <w:rPr>
          <w:rFonts w:ascii="Calibri" w:hAnsi="Calibri"/>
          <w:b/>
          <w:color w:val="0A3D1F"/>
          <w:sz w:val="20"/>
        </w:rPr>
        <w:t xml:space="preserve">68. </w:t>
      </w:r>
      <w:hyperlink r:id="rId95">
        <w:r>
          <w:rPr>
            <w:rFonts w:ascii="Calibri" w:hAnsi="Calibri"/>
            <w:color w:val="B45309"/>
            <w:u w:val="single"/>
            <w:sz w:val="20"/>
          </w:rPr>
          <w:t>EveryCRSReport (Congressional Research Service): African Growth and Opportunity Act (AGOA), Report R49187 (August 2026)</w:t>
        </w:r>
      </w:hyperlink>
    </w:p>
    <w:p>
      <w:pPr>
        <w:spacing w:before="50" w:after="70"/>
        <w:ind w:left="360" w:hanging="360"/>
      </w:pPr>
      <w:r>
        <w:rPr>
          <w:rFonts w:ascii="Calibri" w:hAnsi="Calibri"/>
          <w:b/>
          <w:color w:val="0A3D1F"/>
          <w:sz w:val="20"/>
        </w:rPr>
        <w:t xml:space="preserve">69. </w:t>
      </w:r>
      <w:hyperlink r:id="rId92">
        <w:r>
          <w:rPr>
            <w:rFonts w:ascii="Calibri" w:hAnsi="Calibri"/>
            <w:color w:val="B45309"/>
            <w:u w:val="single"/>
            <w:sz w:val="20"/>
          </w:rPr>
          <w:t>PM News Nigeria: US 12.5% Section 301 Tariff Notice on Nigerian Imports (July 2026)</w:t>
        </w:r>
      </w:hyperlink>
    </w:p>
    <w:p>
      <w:pPr>
        <w:spacing w:before="50" w:after="70"/>
        <w:ind w:left="360" w:hanging="360"/>
      </w:pPr>
      <w:r>
        <w:rPr>
          <w:rFonts w:ascii="Calibri" w:hAnsi="Calibri"/>
          <w:b/>
          <w:color w:val="0A3D1F"/>
          <w:sz w:val="20"/>
        </w:rPr>
        <w:t xml:space="preserve">70. </w:t>
      </w:r>
      <w:hyperlink r:id="rId93">
        <w:r>
          <w:rPr>
            <w:rFonts w:ascii="Calibri" w:hAnsi="Calibri"/>
            <w:color w:val="B45309"/>
            <w:u w:val="single"/>
            <w:sz w:val="20"/>
          </w:rPr>
          <w:t>US Federal Register: Notice of Actions in Section 301 Investigations (28 July 2026)</w:t>
        </w:r>
      </w:hyperlink>
    </w:p>
    <w:p>
      <w:pPr>
        <w:spacing w:before="50" w:after="70"/>
        <w:ind w:left="360" w:hanging="360"/>
      </w:pPr>
      <w:r>
        <w:rPr>
          <w:rFonts w:ascii="Calibri" w:hAnsi="Calibri"/>
          <w:b/>
          <w:color w:val="0A3D1F"/>
          <w:sz w:val="20"/>
        </w:rPr>
        <w:t xml:space="preserve">71. </w:t>
      </w:r>
      <w:hyperlink r:id="rId94">
        <w:r>
          <w:rPr>
            <w:rFonts w:ascii="Calibri" w:hAnsi="Calibri"/>
            <w:color w:val="B45309"/>
            <w:u w:val="single"/>
            <w:sz w:val="20"/>
          </w:rPr>
          <w:t>KPMG US: United States Removes Reciprocal Tariffs on Certain Agricultural Products</w:t>
        </w:r>
      </w:hyperlink>
    </w:p>
    <w:p>
      <w:pPr>
        <w:spacing w:before="50" w:after="70"/>
        <w:ind w:left="360" w:hanging="360"/>
      </w:pPr>
      <w:r>
        <w:rPr>
          <w:rFonts w:ascii="Calibri" w:hAnsi="Calibri"/>
          <w:b/>
          <w:color w:val="0A3D1F"/>
          <w:sz w:val="20"/>
        </w:rPr>
        <w:t xml:space="preserve">72. </w:t>
      </w:r>
      <w:hyperlink r:id="rId96">
        <w:r>
          <w:rPr>
            <w:rFonts w:ascii="Calibri" w:hAnsi="Calibri"/>
            <w:color w:val="B45309"/>
            <w:u w:val="single"/>
            <w:sz w:val="20"/>
          </w:rPr>
          <w:t>American Equipment and Engineering Council (AEC): Section 232 Proclamation on Aluminum, Steel, and Copper Imports (April 2026)</w:t>
        </w:r>
      </w:hyperlink>
    </w:p>
    <w:p>
      <w:pPr>
        <w:spacing w:before="50" w:after="70"/>
        <w:ind w:left="360" w:hanging="360"/>
      </w:pPr>
      <w:r>
        <w:rPr>
          <w:rFonts w:ascii="Calibri" w:hAnsi="Calibri"/>
          <w:b/>
          <w:color w:val="0A3D1F"/>
          <w:sz w:val="20"/>
        </w:rPr>
        <w:t xml:space="preserve">73. </w:t>
      </w:r>
      <w:hyperlink r:id="rId97">
        <w:r>
          <w:rPr>
            <w:rFonts w:ascii="Calibri" w:hAnsi="Calibri"/>
            <w:color w:val="B45309"/>
            <w:u w:val="single"/>
            <w:sz w:val="20"/>
          </w:rPr>
          <w:t>US Food and Drug Administration (FDA): Biennial Registration Renewal Requirements for Food Facilities Due 31 December 2026</w:t>
        </w:r>
      </w:hyperlink>
    </w:p>
    <w:p>
      <w:pPr>
        <w:spacing w:before="50" w:after="70"/>
        <w:ind w:left="360" w:hanging="360"/>
      </w:pPr>
      <w:r>
        <w:rPr>
          <w:rFonts w:ascii="Calibri" w:hAnsi="Calibri"/>
          <w:b/>
          <w:color w:val="0A3D1F"/>
          <w:sz w:val="20"/>
        </w:rPr>
        <w:t xml:space="preserve">74. </w:t>
      </w:r>
      <w:hyperlink r:id="rId98">
        <w:r>
          <w:rPr>
            <w:rFonts w:ascii="Calibri" w:hAnsi="Calibri"/>
            <w:color w:val="B45309"/>
            <w:u w:val="single"/>
            <w:sz w:val="20"/>
          </w:rPr>
          <w:t>Shanghai Municipal Government: China Zero-Tariff Treatment for African Countries (May 2026 – April 2028)</w:t>
        </w:r>
      </w:hyperlink>
    </w:p>
    <w:p>
      <w:pPr>
        <w:spacing w:before="50" w:after="70"/>
        <w:ind w:left="360" w:hanging="360"/>
      </w:pPr>
      <w:r>
        <w:rPr>
          <w:rFonts w:ascii="Calibri" w:hAnsi="Calibri"/>
          <w:b/>
          <w:color w:val="0A3D1F"/>
          <w:sz w:val="20"/>
        </w:rPr>
        <w:t xml:space="preserve">75. </w:t>
      </w:r>
      <w:hyperlink r:id="rId99">
        <w:r>
          <w:rPr>
            <w:rFonts w:ascii="Calibri" w:hAnsi="Calibri"/>
            <w:color w:val="B45309"/>
            <w:u w:val="single"/>
            <w:sz w:val="20"/>
          </w:rPr>
          <w:t>China Briefing: GACC Decree No. 280 Overseas Food Manufacturer Registration Rules (Effective June 2026)</w:t>
        </w:r>
      </w:hyperlink>
    </w:p>
    <w:p>
      <w:pPr>
        <w:spacing w:before="50" w:after="70"/>
        <w:ind w:left="360" w:hanging="360"/>
      </w:pPr>
      <w:r>
        <w:rPr>
          <w:rFonts w:ascii="Calibri" w:hAnsi="Calibri"/>
          <w:b/>
          <w:color w:val="0A3D1F"/>
          <w:sz w:val="20"/>
        </w:rPr>
        <w:t xml:space="preserve">76. </w:t>
      </w:r>
      <w:hyperlink r:id="rId83">
        <w:r>
          <w:rPr>
            <w:rFonts w:ascii="Calibri" w:hAnsi="Calibri"/>
            <w:color w:val="B45309"/>
            <w:u w:val="single"/>
            <w:sz w:val="20"/>
          </w:rPr>
          <w:t>Lovguiden (EUR-Lex Digest): EU Implementing Regulation 2026/1206 Amending Import Controls on Food and Feed</w:t>
        </w:r>
      </w:hyperlink>
    </w:p>
    <w:p>
      <w:pPr>
        <w:spacing w:before="50" w:after="70"/>
        <w:ind w:left="360" w:hanging="360"/>
      </w:pPr>
      <w:r>
        <w:rPr>
          <w:rFonts w:ascii="Calibri" w:hAnsi="Calibri"/>
          <w:b/>
          <w:color w:val="0A3D1F"/>
          <w:sz w:val="20"/>
        </w:rPr>
        <w:t xml:space="preserve">77. </w:t>
      </w:r>
      <w:hyperlink r:id="rId100">
        <w:r>
          <w:rPr>
            <w:rFonts w:ascii="Calibri" w:hAnsi="Calibri"/>
            <w:color w:val="B45309"/>
            <w:u w:val="single"/>
            <w:sz w:val="20"/>
          </w:rPr>
          <w:t>africa.com: UK Reaffirms 99% Duty-Free Access for Nigerian Exports Under the UK DCTS</w:t>
        </w:r>
      </w:hyperlink>
    </w:p>
    <w:p>
      <w:pPr>
        <w:spacing w:before="50" w:after="70"/>
        <w:ind w:left="360" w:hanging="360"/>
      </w:pPr>
      <w:r>
        <w:rPr>
          <w:rFonts w:ascii="Calibri" w:hAnsi="Calibri"/>
          <w:b/>
          <w:color w:val="0A3D1F"/>
          <w:sz w:val="20"/>
        </w:rPr>
        <w:t xml:space="preserve">78. </w:t>
      </w:r>
      <w:hyperlink r:id="rId101">
        <w:r>
          <w:rPr>
            <w:rFonts w:ascii="Calibri" w:hAnsi="Calibri"/>
            <w:color w:val="B45309"/>
            <w:u w:val="single"/>
            <w:sz w:val="20"/>
          </w:rPr>
          <w:t>AfCFTA Secretariat / tralac: AfCFTA Rules of Origin Factsheet</w:t>
        </w:r>
      </w:hyperlink>
    </w:p>
    <w:p>
      <w:pPr>
        <w:spacing w:before="50" w:after="70"/>
        <w:ind w:left="360" w:hanging="360"/>
      </w:pPr>
      <w:r>
        <w:rPr>
          <w:rFonts w:ascii="Calibri" w:hAnsi="Calibri"/>
          <w:b/>
          <w:color w:val="0A3D1F"/>
          <w:sz w:val="20"/>
        </w:rPr>
        <w:t xml:space="preserve">79. </w:t>
      </w:r>
      <w:hyperlink r:id="rId102">
        <w:r>
          <w:rPr>
            <w:rFonts w:ascii="Calibri" w:hAnsi="Calibri"/>
            <w:color w:val="B45309"/>
            <w:u w:val="single"/>
            <w:sz w:val="20"/>
          </w:rPr>
          <w:t>Prime Business Africa: Federal Government Policy on Value Addition in Solid Minerals (Gold, Lithium)</w:t>
        </w:r>
      </w:hyperlink>
    </w:p>
    <w:p>
      <w:pPr>
        <w:spacing w:before="50" w:after="70"/>
        <w:ind w:left="360" w:hanging="360"/>
      </w:pPr>
      <w:r>
        <w:rPr>
          <w:rFonts w:ascii="Calibri" w:hAnsi="Calibri"/>
          <w:b/>
          <w:color w:val="0A3D1F"/>
          <w:sz w:val="20"/>
        </w:rPr>
        <w:t xml:space="preserve">80. </w:t>
      </w:r>
      <w:hyperlink r:id="rId24">
        <w:r>
          <w:rPr>
            <w:rFonts w:ascii="Calibri" w:hAnsi="Calibri"/>
            <w:color w:val="B45309"/>
            <w:u w:val="single"/>
            <w:sz w:val="20"/>
          </w:rPr>
          <w:t>Cassava Technologies: Cassava AI Deploys NVIDIA Nemotron Open-Weight Models, CAIMEx Token Optimiser, and NVIDIA OpenShell to Accelerate Agentic AI Adoption in Africa (21 October 2026)</w:t>
        </w:r>
      </w:hyperlink>
    </w:p>
    <w:p>
      <w:pPr>
        <w:spacing w:before="50" w:after="70"/>
        <w:ind w:left="360" w:hanging="360"/>
      </w:pPr>
      <w:r>
        <w:rPr>
          <w:rFonts w:ascii="Calibri" w:hAnsi="Calibri"/>
          <w:b/>
          <w:color w:val="0A3D1F"/>
          <w:sz w:val="20"/>
        </w:rPr>
        <w:t xml:space="preserve">81. </w:t>
      </w:r>
      <w:hyperlink r:id="rId33">
        <w:r>
          <w:rPr>
            <w:rFonts w:ascii="Calibri" w:hAnsi="Calibri"/>
            <w:color w:val="B45309"/>
            <w:u w:val="single"/>
            <w:sz w:val="20"/>
          </w:rPr>
          <w:t>Cassava AI: Cassava AI Deploys NVIDIA Nemotron on the Cassava AI Multi-Model Exchange (CAIMEx) (21 October 2026)</w:t>
        </w:r>
      </w:hyperlink>
    </w:p>
    <w:p>
      <w:pPr>
        <w:spacing w:before="50" w:after="70"/>
        <w:ind w:left="360" w:hanging="360"/>
      </w:pPr>
      <w:r>
        <w:rPr>
          <w:rFonts w:ascii="Calibri" w:hAnsi="Calibri"/>
          <w:b/>
          <w:color w:val="0A3D1F"/>
          <w:sz w:val="20"/>
        </w:rPr>
        <w:t xml:space="preserve">82. </w:t>
      </w:r>
      <w:hyperlink r:id="rId25">
        <w:r>
          <w:rPr>
            <w:rFonts w:ascii="Calibri" w:hAnsi="Calibri"/>
            <w:color w:val="B45309"/>
            <w:u w:val="single"/>
            <w:sz w:val="20"/>
          </w:rPr>
          <w:t>Tech.Africa: Cassava Adds NVIDIA Nemotron Open-Weight AI Models and Token Optimiser to CAIMEx in Africa (October 2026)</w:t>
        </w:r>
      </w:hyperlink>
    </w:p>
    <w:p>
      <w:pPr>
        <w:spacing w:before="50" w:after="70"/>
        <w:ind w:left="360" w:hanging="360"/>
      </w:pPr>
      <w:r>
        <w:rPr>
          <w:rFonts w:ascii="Calibri" w:hAnsi="Calibri"/>
          <w:b/>
          <w:color w:val="0A3D1F"/>
          <w:sz w:val="20"/>
        </w:rPr>
        <w:t xml:space="preserve">83. </w:t>
      </w:r>
      <w:hyperlink r:id="rId54">
        <w:r>
          <w:rPr>
            <w:rFonts w:ascii="Calibri" w:hAnsi="Calibri"/>
            <w:color w:val="B45309"/>
            <w:u w:val="single"/>
            <w:sz w:val="20"/>
          </w:rPr>
          <w:t>Techweez: Cassava Adds NVIDIA Nemotron Models to Its AI Platform for African Businesses (21 October 2026)</w:t>
        </w:r>
      </w:hyperlink>
    </w:p>
    <w:p>
      <w:pPr>
        <w:spacing w:before="50" w:after="70"/>
        <w:ind w:left="360" w:hanging="360"/>
      </w:pPr>
      <w:r>
        <w:rPr>
          <w:rFonts w:ascii="Calibri" w:hAnsi="Calibri"/>
          <w:b/>
          <w:color w:val="0A3D1F"/>
          <w:sz w:val="20"/>
        </w:rPr>
        <w:t xml:space="preserve">84. </w:t>
      </w:r>
      <w:hyperlink r:id="rId20">
        <w:r>
          <w:rPr>
            <w:rFonts w:ascii="Calibri" w:hAnsi="Calibri"/>
            <w:color w:val="B45309"/>
            <w:u w:val="single"/>
            <w:sz w:val="20"/>
          </w:rPr>
          <w:t>NVIDIA Newsroom: NVIDIA Introduces DSX POD Modular Containerised AI Factories to Accelerate Infrastructure Deployment from Months to 14 Days (21 October 2026)</w:t>
        </w:r>
      </w:hyperlink>
    </w:p>
    <w:p>
      <w:pPr>
        <w:spacing w:before="50" w:after="70"/>
        <w:ind w:left="360" w:hanging="360"/>
      </w:pPr>
      <w:r>
        <w:rPr>
          <w:rFonts w:ascii="Calibri" w:hAnsi="Calibri"/>
          <w:b/>
          <w:color w:val="0A3D1F"/>
          <w:sz w:val="20"/>
        </w:rPr>
        <w:t xml:space="preserve">85. </w:t>
      </w:r>
      <w:hyperlink r:id="rId21">
        <w:r>
          <w:rPr>
            <w:rFonts w:ascii="Calibri" w:hAnsi="Calibri"/>
            <w:color w:val="B45309"/>
            <w:u w:val="single"/>
            <w:sz w:val="20"/>
          </w:rPr>
          <w:t>NVIDIA Technical Blog: Achieve Productive AI Capacity Faster and More Predictably with NVIDIA DSX POD Reference Design (21 October 2026)</w:t>
        </w:r>
      </w:hyperlink>
    </w:p>
    <w:p>
      <w:pPr>
        <w:spacing w:before="50" w:after="70"/>
        <w:ind w:left="360" w:hanging="360"/>
      </w:pPr>
      <w:r>
        <w:rPr>
          <w:rFonts w:ascii="Calibri" w:hAnsi="Calibri"/>
          <w:b/>
          <w:color w:val="0A3D1F"/>
          <w:sz w:val="20"/>
        </w:rPr>
        <w:t xml:space="preserve">86. </w:t>
      </w:r>
      <w:hyperlink r:id="rId43">
        <w:r>
          <w:rPr>
            <w:rFonts w:ascii="Calibri" w:hAnsi="Calibri"/>
            <w:color w:val="B45309"/>
            <w:u w:val="single"/>
            <w:sz w:val="20"/>
          </w:rPr>
          <w:t>NVIDIA Data Center Products: DSX POD Modular Reference Design for Vera Rubin AI Factory Infrastructure</w:t>
        </w:r>
      </w:hyperlink>
    </w:p>
    <w:p>
      <w:pPr>
        <w:spacing w:before="50" w:after="70"/>
        <w:ind w:left="360" w:hanging="360"/>
      </w:pPr>
      <w:r>
        <w:rPr>
          <w:rFonts w:ascii="Calibri" w:hAnsi="Calibri"/>
          <w:b/>
          <w:color w:val="0A3D1F"/>
          <w:sz w:val="20"/>
        </w:rPr>
        <w:t xml:space="preserve">87. </w:t>
      </w:r>
      <w:hyperlink r:id="rId34">
        <w:r>
          <w:rPr>
            <w:rFonts w:ascii="Calibri" w:hAnsi="Calibri"/>
            <w:color w:val="B45309"/>
            <w:u w:val="single"/>
            <w:sz w:val="20"/>
          </w:rPr>
          <w:t>Data Center Knowledge: NVIDIA Unveils DSX Pod for Faster Modular AI Data Center Builds Ahead of 2027 Rollout (October 2026)</w:t>
        </w:r>
      </w:hyperlink>
    </w:p>
    <w:sectPr w:rsidR="00FC693F" w:rsidRPr="0006063C" w:rsidSect="00034616">
      <w:headerReference w:type="default" r:id="rId9"/>
      <w:footerReference w:type="default" r:id="rId10"/>
      <w:pgSz w:w="12240" w:h="15840"/>
      <w:pgMar w:top="1152" w:right="1080" w:bottom="1152" w:left="108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475569"/>
        <w:sz w:val="17"/>
      </w:rPr>
      <w:t xml:space="preserve">Definitive Red-Teamed Strategy &amp; Implementation Edition · 24 October 2026  —  Page </w:t>
    </w:r>
    <w:r>
      <w:rPr>
        <w:rFonts w:ascii="Calibri" w:hAnsi="Calibri"/>
        <w:b/>
        <w:color w:val="0A3D1F"/>
        <w:sz w:val="17"/>
      </w:rPr>
      <w:fldChar w:fldCharType="begin"/>
      <w:instrText xml:space="preserve"> PAGE </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475569"/>
        <w:sz w:val="17"/>
      </w:rPr>
      <w:t>BENEVOLENT TOKENOMICS: AFRICAN AI COMPUTE STRATEGY (2026–2031)  |  BENEDICT ITEGBE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E293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guardian.ng/business-services/nigerias-gas-to-power-global-ai-boom-deepen-regions-infrastructure/" TargetMode="External"/><Relationship Id="rId12" Type="http://schemas.openxmlformats.org/officeDocument/2006/relationships/hyperlink" Target="https://businessday.ng/?p=1091462" TargetMode="External"/><Relationship Id="rId13" Type="http://schemas.openxmlformats.org/officeDocument/2006/relationships/hyperlink" Target="https://nsia.com.ng/2026/05/19/" TargetMode="External"/><Relationship Id="rId14" Type="http://schemas.openxmlformats.org/officeDocument/2006/relationships/hyperlink" Target="https://arxiv.org/pdf/2606.24460" TargetMode="External"/><Relationship Id="rId15" Type="http://schemas.openxmlformats.org/officeDocument/2006/relationships/hyperlink" Target="https://arxiv.org/abs/2509.05486v1" TargetMode="External"/><Relationship Id="rId16" Type="http://schemas.openxmlformats.org/officeDocument/2006/relationships/hyperlink" Target="https://au-startups.com/news/africa-ai-strategy-foreign-dependence" TargetMode="External"/><Relationship Id="rId17" Type="http://schemas.openxmlformats.org/officeDocument/2006/relationships/hyperlink" Target="https://oecd.ai/en/dashboards/policy-initiatives/national-artificial-intelligence-strategy-nais" TargetMode="External"/><Relationship Id="rId18" Type="http://schemas.openxmlformats.org/officeDocument/2006/relationships/hyperlink" Target="https://oecd.ai/en/dashboards/national/nigeria" TargetMode="External"/><Relationship Id="rId19" Type="http://schemas.openxmlformats.org/officeDocument/2006/relationships/hyperlink" Target="https://nannews.ng/nigerian-ppp-model-becomes-template-for-3-1bn-afcfta-customs-project-icrc/" TargetMode="External"/><Relationship Id="rId20" Type="http://schemas.openxmlformats.org/officeDocument/2006/relationships/hyperlink" Target="https://nvidianews.nvidia.com/news/nvidia-introduces-dsx-pod-ai-factories-to-accelerate-europes-infrastructure-deployment" TargetMode="External"/><Relationship Id="rId21" Type="http://schemas.openxmlformats.org/officeDocument/2006/relationships/hyperlink" Target="https://developer.nvidia.com/blog/achieve-productive-ai-capacity-faster-and-more-predictably-with-nvidia-dsx-pod/" TargetMode="External"/><Relationship Id="rId22" Type="http://schemas.openxmlformats.org/officeDocument/2006/relationships/hyperlink" Target="https://abachy.com/news/ibs-28-billion-build-2nm-fab-30000-wafer?hl=en-US" TargetMode="External"/><Relationship Id="rId23" Type="http://schemas.openxmlformats.org/officeDocument/2006/relationships/hyperlink" Target="https://dig.watch/resource/national-blockchain-policy-for-nigeria" TargetMode="External"/><Relationship Id="rId24" Type="http://schemas.openxmlformats.org/officeDocument/2006/relationships/hyperlink" Target="https://www.cassavatechnologies.com/cassava-ai-deploys-nvidia-nemotron-to-accelerate-agentic-ai-adoption/" TargetMode="External"/><Relationship Id="rId25" Type="http://schemas.openxmlformats.org/officeDocument/2006/relationships/hyperlink" Target="https://tech.africa/cassava-nvidia-nemotron-caimex/" TargetMode="External"/><Relationship Id="rId26" Type="http://schemas.openxmlformats.org/officeDocument/2006/relationships/hyperlink" Target="https://businessday.ng/news/article/nigeria-moves-to-stop-4bn-export-losses-signs-agric-deal-with-nasrda/" TargetMode="External"/><Relationship Id="rId27" Type="http://schemas.openxmlformats.org/officeDocument/2006/relationships/hyperlink" Target="https://nannews.ng/nigeria-non-oil-exports-hit-6-1bn-in-2025/" TargetMode="External"/><Relationship Id="rId28" Type="http://schemas.openxmlformats.org/officeDocument/2006/relationships/hyperlink" Target="https://www.khaleejtimes.com/business/tech/how-the-new-ai-chip-rule-from-the-us-will-work" TargetMode="External"/><Relationship Id="rId29" Type="http://schemas.openxmlformats.org/officeDocument/2006/relationships/hyperlink" Target="https://timewell.jp/en/columns/ai-diffusion-rule-withdrawal-and-alternatives" TargetMode="External"/><Relationship Id="rId30" Type="http://schemas.openxmlformats.org/officeDocument/2006/relationships/hyperlink" Target="https://www.randforecastinginitiative.org/memberships/3751" TargetMode="External"/><Relationship Id="rId31" Type="http://schemas.openxmlformats.org/officeDocument/2006/relationships/hyperlink" Target="https://www.datacenterdynamics.com/en/news/department-of-commerce-formally-rescinds-ai-diffusion-rule-says-deploying-huawei-ascend-chips-violates-us-export-rules/" TargetMode="External"/><Relationship Id="rId32" Type="http://schemas.openxmlformats.org/officeDocument/2006/relationships/hyperlink" Target="https://e.huawei.com/fr/news/2026/solutions/data-center/northern-africa-aidc-reference" TargetMode="External"/><Relationship Id="rId33" Type="http://schemas.openxmlformats.org/officeDocument/2006/relationships/hyperlink" Target="https://www.cassava.ai/2026/10/21/cassava-ai-deploys-nvidia-nemotron-to-accelerate-agentic-ai-adoption/" TargetMode="External"/><Relationship Id="rId34" Type="http://schemas.openxmlformats.org/officeDocument/2006/relationships/hyperlink" Target="https://www.datacenterknowledge.com/ai-data-centers/nvidia-unveils-dsx-pod-for-faster-ai-data-center-builds" TargetMode="External"/><Relationship Id="rId35" Type="http://schemas.openxmlformats.org/officeDocument/2006/relationships/hyperlink" Target="https://techeconomy.ng/?p=180960" TargetMode="External"/><Relationship Id="rId36" Type="http://schemas.openxmlformats.org/officeDocument/2006/relationships/hyperlink" Target="https://techpoint.africa/guide/ai-infrastructure-in-nigeria-gpu-gap/" TargetMode="External"/><Relationship Id="rId37" Type="http://schemas.openxmlformats.org/officeDocument/2006/relationships/hyperlink" Target="https://www.ecofinagency.com/news-digital/1802-53027-nigerians-booming-data-centers-market-poses-power-supply-test" TargetMode="External"/><Relationship Id="rId38" Type="http://schemas.openxmlformats.org/officeDocument/2006/relationships/hyperlink" Target="https://techeconomy.ng/nigeria-internet-subscriptions-rise-to-1574-million-as-broadband-penetration-hits-561-in-may" TargetMode="External"/><Relationship Id="rId39" Type="http://schemas.openxmlformats.org/officeDocument/2006/relationships/hyperlink" Target="https://dailytrust.com/?p=1949997" TargetMode="External"/><Relationship Id="rId40" Type="http://schemas.openxmlformats.org/officeDocument/2006/relationships/hyperlink" Target="https://www.dabafinance.com/en/news/airtel-nigeria-ai-data-centre-investment-eko-atlantic-2026" TargetMode="External"/><Relationship Id="rId41" Type="http://schemas.openxmlformats.org/officeDocument/2006/relationships/hyperlink" Target="https://www.newsghana.com.gh/big-tech-eyes-nigeria-gas-to-power-ai-data-centres/" TargetMode="External"/><Relationship Id="rId42" Type="http://schemas.openxmlformats.org/officeDocument/2006/relationships/hyperlink" Target="https://www.spheron.network/blog/gpu-cloud-providers-africa-2026/" TargetMode="External"/><Relationship Id="rId43" Type="http://schemas.openxmlformats.org/officeDocument/2006/relationships/hyperlink" Target="https://www.nvidia.com/en-us/data-center/products/dsx/pod/" TargetMode="External"/><Relationship Id="rId44" Type="http://schemas.openxmlformats.org/officeDocument/2006/relationships/hyperlink" Target="https://techcabal.com/2026/01/08/will-nigeria-get-its-first-ai-data-centre-in-2026/" TargetMode="External"/><Relationship Id="rId45" Type="http://schemas.openxmlformats.org/officeDocument/2006/relationships/hyperlink" Target="https://www.icrc.gov.ng/wp-content/uploads/2026/08/Redefining-PPP-in-Nigeria_WEF.pdf" TargetMode="External"/><Relationship Id="rId46" Type="http://schemas.openxmlformats.org/officeDocument/2006/relationships/hyperlink" Target="https://kpmg.com/us/en/taxnewsflash/news/2026/06/nigeria-tax-act-2025-reforms.html" TargetMode="External"/><Relationship Id="rId47" Type="http://schemas.openxmlformats.org/officeDocument/2006/relationships/hyperlink" Target="https://digitalpolicyalert.org/digest/nigeria-ai-governance-approach" TargetMode="External"/><Relationship Id="rId48" Type="http://schemas.openxmlformats.org/officeDocument/2006/relationships/hyperlink" Target="https://nannews.ng/beyond-guidelines-how-icrcs-model-ppp-agreement-drives-infrastructure-investment/" TargetMode="External"/><Relationship Id="rId49" Type="http://schemas.openxmlformats.org/officeDocument/2006/relationships/hyperlink" Target="https://von.gov.ng/icrc-unveils-new-ppp-guidelines-to-improve-infrastructure-delivery/" TargetMode="External"/><Relationship Id="rId50" Type="http://schemas.openxmlformats.org/officeDocument/2006/relationships/hyperlink" Target="https://www.statisticstimes.com/m/demographics/country/nigeria-population.php" TargetMode="External"/><Relationship Id="rId51" Type="http://schemas.openxmlformats.org/officeDocument/2006/relationships/hyperlink" Target="https://book.st-hakky.com/en/news/india-data-center-capacity-quadruples" TargetMode="External"/><Relationship Id="rId52" Type="http://schemas.openxmlformats.org/officeDocument/2006/relationships/hyperlink" Target="https://communicationstoday.co.in/indiaai-mission-faces-gap-between-capacity-and-deployed-gpus" TargetMode="External"/><Relationship Id="rId53" Type="http://schemas.openxmlformats.org/officeDocument/2006/relationships/hyperlink" Target="https://www.scl.org/uk-government-issues-response-to-the-ai-opportunities-action-plan/" TargetMode="External"/><Relationship Id="rId54" Type="http://schemas.openxmlformats.org/officeDocument/2006/relationships/hyperlink" Target="https://techweez.com/2026/10/21/cassava-adds-nvidia-nemotron-models-to-its-ai-platform-for-african-businesses/" TargetMode="External"/><Relationship Id="rId55" Type="http://schemas.openxmlformats.org/officeDocument/2006/relationships/image" Target="media/image1.png"/><Relationship Id="rId56" Type="http://schemas.openxmlformats.org/officeDocument/2006/relationships/hyperlink" Target="https://www.orfonline.org/research/kigali-summit-lays-the-groundwork-for-africa-s-ai-future" TargetMode="External"/><Relationship Id="rId57" Type="http://schemas.openxmlformats.org/officeDocument/2006/relationships/image" Target="media/image2.png"/><Relationship Id="rId58" Type="http://schemas.openxmlformats.org/officeDocument/2006/relationships/hyperlink" Target="https://casrai.org/news/ai-opportunities-action-plan" TargetMode="External"/><Relationship Id="rId59" Type="http://schemas.openxmlformats.org/officeDocument/2006/relationships/image" Target="media/image3.png"/><Relationship Id="rId60" Type="http://schemas.openxmlformats.org/officeDocument/2006/relationships/hyperlink" Target="https://www.pwc.com/ng/en/publications/the-nigerian-tax-reform-acts.html" TargetMode="External"/><Relationship Id="rId61" Type="http://schemas.openxmlformats.org/officeDocument/2006/relationships/hyperlink" Target="https://oraquul.github.io/AI-Africa-Abundance/" TargetMode="External"/><Relationship Id="rId62" Type="http://schemas.openxmlformats.org/officeDocument/2006/relationships/hyperlink" Target="https://github.com/Oraquul/AI-Africa-Abundance" TargetMode="External"/><Relationship Id="rId63" Type="http://schemas.openxmlformats.org/officeDocument/2006/relationships/image" Target="media/image4.png"/><Relationship Id="rId64" Type="http://schemas.openxmlformats.org/officeDocument/2006/relationships/hyperlink" Target="https://techloy.com/nigerias-central-bank-withdraws-the-controversial-0-5-cybersecurity-levy" TargetMode="External"/><Relationship Id="rId65" Type="http://schemas.openxmlformats.org/officeDocument/2006/relationships/hyperlink" Target="https://www.timeslive.co.za/news/africa/2025-09-16-nigeria-suspends-levy-on-imports-after-industry-backlash/" TargetMode="External"/><Relationship Id="rId66" Type="http://schemas.openxmlformats.org/officeDocument/2006/relationships/hyperlink" Target="https://businessday.ng/life/article/economic-competitiveness-what-you-need-to-know-about-nigerias-new-tax-laws/" TargetMode="External"/><Relationship Id="rId67" Type="http://schemas.openxmlformats.org/officeDocument/2006/relationships/hyperlink" Target="https://stg18326.businessday.ng/?p=1115565" TargetMode="External"/><Relationship Id="rId68" Type="http://schemas.openxmlformats.org/officeDocument/2006/relationships/hyperlink" Target="https://oraquul.github.io/Public-service-ai-observatory/" TargetMode="External"/><Relationship Id="rId69" Type="http://schemas.openxmlformats.org/officeDocument/2006/relationships/hyperlink" Target="https://digitalpolicyalert.org/event/20702-adopted-continental-artificial-intelligence-strategy" TargetMode="External"/><Relationship Id="rId70" Type="http://schemas.openxmlformats.org/officeDocument/2006/relationships/hyperlink" Target="https://www.youtube.com/playlist?list=PLQOp9gIlLxSc" TargetMode="External"/><Relationship Id="rId71" Type="http://schemas.openxmlformats.org/officeDocument/2006/relationships/hyperlink" Target="https://techafricanews.com/2026/09/29/the-aus-question-what-55-countries-need-to-agree-on-before-africa-can-govern-ai/" TargetMode="External"/><Relationship Id="rId72" Type="http://schemas.openxmlformats.org/officeDocument/2006/relationships/hyperlink" Target="https://it-online.co.za/?p=307886" TargetMode="External"/><Relationship Id="rId73" Type="http://schemas.openxmlformats.org/officeDocument/2006/relationships/image" Target="media/image5.png"/><Relationship Id="rId74" Type="http://schemas.openxmlformats.org/officeDocument/2006/relationships/hyperlink" Target="https://claude.ai/artifact/Y7Ro6wjDbF6jb2K3x11p5Q" TargetMode="External"/><Relationship Id="rId75" Type="http://schemas.openxmlformats.org/officeDocument/2006/relationships/hyperlink" Target="https://trendeconomy.com/data/h2/Nigeria/1801" TargetMode="External"/><Relationship Id="rId76" Type="http://schemas.openxmlformats.org/officeDocument/2006/relationships/hyperlink" Target="https://tradingeconomics.com/nigeria/exports-by-category" TargetMode="External"/><Relationship Id="rId77" Type="http://schemas.openxmlformats.org/officeDocument/2006/relationships/hyperlink" Target="https://businessday.ng/?p=1007535" TargetMode="External"/><Relationship Id="rId78" Type="http://schemas.openxmlformats.org/officeDocument/2006/relationships/hyperlink" Target="https://www.arise.tv/fertiliser-exports-hit-n1-37tn-in-q1-2026-emerging-as-nigerias-top-non-oil-foreign-exchange-earner/" TargetMode="External"/><Relationship Id="rId79" Type="http://schemas.openxmlformats.org/officeDocument/2006/relationships/hyperlink" Target="https://tradingeconomics.com/nigeria/exports/netherlands/cocoa-cocoa-preparations" TargetMode="External"/><Relationship Id="rId80" Type="http://schemas.openxmlformats.org/officeDocument/2006/relationships/hyperlink" Target="https://tradingeconomics.com/nigeria/exports/belgium/cocoa-cocoa-preparations" TargetMode="External"/><Relationship Id="rId81" Type="http://schemas.openxmlformats.org/officeDocument/2006/relationships/hyperlink" Target="https://trade.ec.europa.eu/access-to-markets/en/news/delay-until-december-2026-and-other-developments-implementation-eudr-regulation" TargetMode="External"/><Relationship Id="rId82" Type="http://schemas.openxmlformats.org/officeDocument/2006/relationships/hyperlink" Target="https://www.ropesgray.com/en/insights/viewpoints/102kcln/european-commission-sets-country-risk-classifications-for-eu-deforestation-regula" TargetMode="External"/><Relationship Id="rId83" Type="http://schemas.openxmlformats.org/officeDocument/2006/relationships/hyperlink" Target="https://www.lovguiden.dk/en/det-offentlige/eur-lex-eu-tidende/2026-06-10-eu-aendrer-importkontrol-af-foedevarer-og-foder-fra-tredjelande" TargetMode="External"/><Relationship Id="rId84" Type="http://schemas.openxmlformats.org/officeDocument/2006/relationships/hyperlink" Target="https://allafrica.com/stories/202601210442.html" TargetMode="External"/><Relationship Id="rId85" Type="http://schemas.openxmlformats.org/officeDocument/2006/relationships/hyperlink" Target="https://www.bammagazine.com.ng/nepc-targets-10bn-non-oil-exports-from-s-w-region-by-2035/" TargetMode="External"/><Relationship Id="rId86" Type="http://schemas.openxmlformats.org/officeDocument/2006/relationships/hyperlink" Target="https://www.exportreadyafrica.com/" TargetMode="External"/><Relationship Id="rId87" Type="http://schemas.openxmlformats.org/officeDocument/2006/relationships/hyperlink" Target="https://www.exportreadyafrica.com/about" TargetMode="External"/><Relationship Id="rId88" Type="http://schemas.openxmlformats.org/officeDocument/2006/relationships/hyperlink" Target="https://trendeconomy.com/data/h2/Nigeria/TOTAL" TargetMode="External"/><Relationship Id="rId89" Type="http://schemas.openxmlformats.org/officeDocument/2006/relationships/hyperlink" Target="https://wits.worldbank.org/trade/comtrade/en/country/NGA/year/2023/tradeflow/Exports/partner/ALL/product/310210" TargetMode="External"/><Relationship Id="rId90" Type="http://schemas.openxmlformats.org/officeDocument/2006/relationships/hyperlink" Target="https://www.premiumtimesng.com/business/business-news/918874-nigerias-cocoa-exports-to-us-surge-to-142m-in-2025.html" TargetMode="External"/><Relationship Id="rId91" Type="http://schemas.openxmlformats.org/officeDocument/2006/relationships/hyperlink" Target="https://www.hsfkramer.com/notes/energy/2026-posts/operationalisation-and-simplification-of-the-eu-cbam" TargetMode="External"/><Relationship Id="rId92" Type="http://schemas.openxmlformats.org/officeDocument/2006/relationships/hyperlink" Target="https://pmnewsnigeria.com/2026/07/24/us-slaps-12-5-tariff-on-nigerian-imports-over-forced-labour-rules/" TargetMode="External"/><Relationship Id="rId93" Type="http://schemas.openxmlformats.org/officeDocument/2006/relationships/hyperlink" Target="https://www.federalregister.gov/documents/2026/07/28/2026-15181/notice-of-actions-in-section-301-investigations-of-acts-policies-and-practices-of-various-economies" TargetMode="External"/><Relationship Id="rId94" Type="http://schemas.openxmlformats.org/officeDocument/2006/relationships/hyperlink" Target="https://kpmg.com/us/en/taxnewsflash/news/2025/11/united-states-removes-reciprocal-tariffs-agricultural-products.html" TargetMode="External"/><Relationship Id="rId95" Type="http://schemas.openxmlformats.org/officeDocument/2006/relationships/hyperlink" Target="https://www.everycrsreport.com/files/2026-08-14_R49187_79b3d3aa42c32d156c7f65321dcb491e85674806.html" TargetMode="External"/><Relationship Id="rId96" Type="http://schemas.openxmlformats.org/officeDocument/2006/relationships/hyperlink" Target="https://aec.org/new-section-232-proclamation-reshapes-tariff-treatment-aluminum-steel-and-copper-imports" TargetMode="External"/><Relationship Id="rId97" Type="http://schemas.openxmlformats.org/officeDocument/2006/relationships/hyperlink" Target="https://www.fda.gov/food/hfp-constituent-updates/fda-reminds-food-facilities-biennial-renewal-requirements" TargetMode="External"/><Relationship Id="rId98" Type="http://schemas.openxmlformats.org/officeDocument/2006/relationships/hyperlink" Target="https://english.shanghai.gov.cn/en-PolicyInsights/20260429/522b9bd9d6a746ec97ce9c7621fc167a.html" TargetMode="External"/><Relationship Id="rId99" Type="http://schemas.openxmlformats.org/officeDocument/2006/relationships/hyperlink" Target="https://www.china-briefing.com/news/gac-overseas-food-manufacturer-registration-china-new-rules-2026/" TargetMode="External"/><Relationship Id="rId100" Type="http://schemas.openxmlformats.org/officeDocument/2006/relationships/hyperlink" Target="https://africa.com/top-10-news/uk-reaffirms-99-duty-free-access-for-nigerian-exports" TargetMode="External"/><Relationship Id="rId101" Type="http://schemas.openxmlformats.org/officeDocument/2006/relationships/hyperlink" Target="https://africatradeagreements.tn/wp-content/uploads/2024/11/AfCFTA-RoO-FactSheet-May-2021.pdf" TargetMode="External"/><Relationship Id="rId102" Type="http://schemas.openxmlformats.org/officeDocument/2006/relationships/hyperlink" Target="https://www.primebusiness.africa/?p=101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Benevolent Tokenomics: A Generational Emergency Plan for African AI Compute, 2026–2031</dc:title>
  <dc:subject>A Nigeria-Led Continental Strategy for Sovereign Compute, Return-on-Tokens Allocation, and Public-Ledger Governance</dc:subject>
  <dc:creator>Benedict Itegbe</dc:creator>
  <cp:keywords/>
  <dc:description>generated by python-docx</dc:description>
  <cp:lastModifiedBy/>
  <cp:revision>1</cp:revision>
  <dcterms:created xsi:type="dcterms:W3CDTF">2013-12-23T23:15:00Z</dcterms:created>
  <dcterms:modified xsi:type="dcterms:W3CDTF">2013-12-23T23:15:00Z</dcterms:modified>
  <cp:category/>
</cp:coreProperties>
</file>